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56" w:rsidRPr="00B56B1A" w:rsidRDefault="00BA0856" w:rsidP="00BA0856">
      <w:pPr>
        <w:jc w:val="both"/>
        <w:rPr>
          <w:b/>
        </w:rPr>
      </w:pPr>
      <w:r>
        <w:rPr>
          <w:b/>
        </w:rPr>
        <w:t>3</w:t>
      </w:r>
      <w:r w:rsidRPr="00B56B1A">
        <w:rPr>
          <w:b/>
        </w:rPr>
        <w:t xml:space="preserve">. </w:t>
      </w:r>
      <w:r w:rsidR="00C363C6">
        <w:rPr>
          <w:b/>
        </w:rPr>
        <w:t>Měření m</w:t>
      </w:r>
      <w:r>
        <w:rPr>
          <w:b/>
        </w:rPr>
        <w:t>oment</w:t>
      </w:r>
      <w:r w:rsidR="00C363C6">
        <w:rPr>
          <w:b/>
        </w:rPr>
        <w:t>u</w:t>
      </w:r>
      <w:r>
        <w:rPr>
          <w:b/>
        </w:rPr>
        <w:t xml:space="preserve"> setrvačnosti</w:t>
      </w:r>
    </w:p>
    <w:p w:rsidR="00BA0856" w:rsidRDefault="00BA0856" w:rsidP="00BA0856">
      <w:pPr>
        <w:jc w:val="both"/>
        <w:rPr>
          <w:i/>
        </w:rPr>
      </w:pPr>
      <w:r w:rsidRPr="00B56B1A">
        <w:rPr>
          <w:i/>
        </w:rPr>
        <w:t>pomůcky:</w:t>
      </w:r>
    </w:p>
    <w:p w:rsidR="00BA0856" w:rsidRPr="00441F83" w:rsidRDefault="00AE5562" w:rsidP="00BA0856">
      <w:pPr>
        <w:jc w:val="both"/>
      </w:pPr>
      <w:r w:rsidRPr="00441F83">
        <w:t xml:space="preserve">drát, 4 </w:t>
      </w:r>
      <w:proofErr w:type="spellStart"/>
      <w:r w:rsidRPr="00441F83">
        <w:t>místný</w:t>
      </w:r>
      <w:proofErr w:type="spellEnd"/>
      <w:r w:rsidRPr="00441F83">
        <w:t xml:space="preserve"> čítač, v</w:t>
      </w:r>
      <w:r w:rsidR="00441F83" w:rsidRPr="00441F83">
        <w:t>áha, optická závora, torzní kyvadlo</w:t>
      </w:r>
      <w:r w:rsidR="000B366C">
        <w:t xml:space="preserve"> s kotoučem</w:t>
      </w:r>
      <w:r w:rsidR="00441F83" w:rsidRPr="00441F83">
        <w:t>, závaží, přívažek</w:t>
      </w:r>
      <w:r w:rsidR="000B366C">
        <w:t>,</w:t>
      </w:r>
      <w:r w:rsidR="000809B4">
        <w:t xml:space="preserve"> posuvné měřidlo</w:t>
      </w:r>
    </w:p>
    <w:p w:rsidR="00441F83" w:rsidRDefault="00441F83" w:rsidP="00BA0856">
      <w:pPr>
        <w:jc w:val="both"/>
        <w:rPr>
          <w:i/>
        </w:rPr>
      </w:pPr>
      <w:r>
        <w:rPr>
          <w:i/>
        </w:rPr>
        <w:t>úkol:</w:t>
      </w:r>
    </w:p>
    <w:p w:rsidR="00441F83" w:rsidRPr="00441F83" w:rsidRDefault="00441F83" w:rsidP="00441F83">
      <w:pPr>
        <w:pStyle w:val="Odstavecseseznamem"/>
        <w:numPr>
          <w:ilvl w:val="0"/>
          <w:numId w:val="6"/>
        </w:numPr>
        <w:jc w:val="both"/>
      </w:pPr>
      <w:r>
        <w:t>určete</w:t>
      </w:r>
      <w:r w:rsidRPr="00441F83">
        <w:t xml:space="preserve"> moment setrvačnosti torzního kyvadla</w:t>
      </w:r>
      <w:r>
        <w:t xml:space="preserve"> </w:t>
      </w:r>
      <w:r w:rsidRPr="00441F83">
        <w:t xml:space="preserve">přímou metodou </w:t>
      </w:r>
    </w:p>
    <w:p w:rsidR="00441F83" w:rsidRPr="00441F83" w:rsidRDefault="000B366C" w:rsidP="00441F83">
      <w:pPr>
        <w:pStyle w:val="Odstavecseseznamem"/>
        <w:numPr>
          <w:ilvl w:val="0"/>
          <w:numId w:val="6"/>
        </w:numPr>
        <w:jc w:val="both"/>
      </w:pPr>
      <w:r>
        <w:t xml:space="preserve">určete moment setrvačnosti </w:t>
      </w:r>
      <w:r w:rsidR="00441F83" w:rsidRPr="00441F83">
        <w:t xml:space="preserve">metodou torzních </w:t>
      </w:r>
      <w:r>
        <w:t>kmitů</w:t>
      </w:r>
    </w:p>
    <w:p w:rsidR="00092120" w:rsidRPr="00441F83" w:rsidRDefault="00441F83" w:rsidP="00BA0856">
      <w:pPr>
        <w:rPr>
          <w:i/>
        </w:rPr>
      </w:pPr>
      <w:r w:rsidRPr="00441F83">
        <w:rPr>
          <w:i/>
        </w:rPr>
        <w:t>postup měření:</w:t>
      </w:r>
    </w:p>
    <w:p w:rsidR="00441F83" w:rsidRDefault="00441F83" w:rsidP="00441F83">
      <w:pPr>
        <w:jc w:val="both"/>
      </w:pPr>
      <w:r>
        <w:t>ad 1.</w:t>
      </w:r>
    </w:p>
    <w:p w:rsidR="000B366C" w:rsidRDefault="000809B4" w:rsidP="00C40DDF">
      <w:pPr>
        <w:pStyle w:val="Odstavecseseznamem"/>
        <w:numPr>
          <w:ilvl w:val="0"/>
          <w:numId w:val="7"/>
        </w:numPr>
        <w:jc w:val="both"/>
      </w:pPr>
      <w:r>
        <w:t>1x určit</w:t>
      </w:r>
      <w:r w:rsidR="000B366C">
        <w:t xml:space="preserve"> hmotnost </w:t>
      </w:r>
      <w:r w:rsidR="00252BE5">
        <w:t>kotouče</w:t>
      </w:r>
      <w:r w:rsidR="000B366C">
        <w:t xml:space="preserve"> a válečku</w:t>
      </w:r>
      <w:r w:rsidR="00252BE5">
        <w:t xml:space="preserve"> torzního kyvadla</w:t>
      </w:r>
    </w:p>
    <w:p w:rsidR="00441F83" w:rsidRDefault="000B366C" w:rsidP="00C40DDF">
      <w:pPr>
        <w:pStyle w:val="Odstavecseseznamem"/>
        <w:numPr>
          <w:ilvl w:val="0"/>
          <w:numId w:val="7"/>
        </w:numPr>
      </w:pPr>
      <w:r>
        <w:t>10</w:t>
      </w:r>
      <w:r w:rsidR="00441F83">
        <w:t xml:space="preserve">x změřit </w:t>
      </w:r>
      <w:r w:rsidR="000809B4">
        <w:t xml:space="preserve">vnitřní </w:t>
      </w:r>
      <w:r w:rsidR="00441F83">
        <w:t xml:space="preserve">průměr </w:t>
      </w:r>
      <w:r w:rsidR="00252BE5">
        <w:t>kotouče</w:t>
      </w:r>
      <w:r w:rsidR="000809B4">
        <w:t>,</w:t>
      </w:r>
      <w:r>
        <w:t xml:space="preserve"> </w:t>
      </w:r>
      <w:r w:rsidR="000809B4">
        <w:t xml:space="preserve">vnější průměr </w:t>
      </w:r>
      <w:r>
        <w:t>válečku</w:t>
      </w:r>
      <w:r w:rsidR="00252BE5">
        <w:t xml:space="preserve"> </w:t>
      </w:r>
      <w:r w:rsidR="000809B4">
        <w:t xml:space="preserve">a rozdíl poloměrů kotouče </w:t>
      </w:r>
      <w:r w:rsidR="00252BE5">
        <w:t>torzního kyvadla</w:t>
      </w:r>
    </w:p>
    <w:p w:rsidR="000B366C" w:rsidRDefault="000B366C" w:rsidP="000B366C">
      <w:pPr>
        <w:jc w:val="both"/>
      </w:pPr>
      <w:r>
        <w:t>ad 2.</w:t>
      </w:r>
    </w:p>
    <w:p w:rsidR="000B366C" w:rsidRDefault="00C40DDF" w:rsidP="00C40DDF">
      <w:pPr>
        <w:pStyle w:val="Odstavecseseznamem"/>
        <w:numPr>
          <w:ilvl w:val="0"/>
          <w:numId w:val="8"/>
        </w:numPr>
      </w:pPr>
      <w:r>
        <w:t>5</w:t>
      </w:r>
      <w:r w:rsidR="00CD14B9">
        <w:t>0</w:t>
      </w:r>
      <w:r w:rsidR="000B366C">
        <w:t xml:space="preserve">x </w:t>
      </w:r>
      <w:r w:rsidR="00DD4F4A">
        <w:t>změřit</w:t>
      </w:r>
      <w:r>
        <w:t xml:space="preserve"> periodu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D769F5">
        <w:t xml:space="preserve"> </w:t>
      </w:r>
      <w:r>
        <w:t>samotného kyvadla</w:t>
      </w:r>
    </w:p>
    <w:p w:rsidR="00C40DDF" w:rsidRDefault="00C40DDF" w:rsidP="00C40DDF">
      <w:pPr>
        <w:pStyle w:val="Odstavecseseznamem"/>
        <w:numPr>
          <w:ilvl w:val="0"/>
          <w:numId w:val="8"/>
        </w:numPr>
      </w:pPr>
      <w:r>
        <w:t>5</w:t>
      </w:r>
      <w:r w:rsidR="00CD14B9">
        <w:t>0</w:t>
      </w:r>
      <w:r>
        <w:t>x změř</w:t>
      </w:r>
      <w:r w:rsidR="00DD4F4A">
        <w:t>it</w:t>
      </w:r>
      <w:r>
        <w:t xml:space="preserve"> periodu </w:t>
      </w:r>
      <m:oMath>
        <m:r>
          <w:rPr>
            <w:rFonts w:ascii="Cambria Math" w:hAnsi="Cambria Math"/>
          </w:rPr>
          <m:t>T</m:t>
        </m:r>
      </m:oMath>
      <w:r w:rsidR="00D769F5">
        <w:t xml:space="preserve"> </w:t>
      </w:r>
      <w:r>
        <w:t>kyvadla se závažím</w:t>
      </w:r>
    </w:p>
    <w:p w:rsidR="00502907" w:rsidRDefault="00C40DDF" w:rsidP="001A0545">
      <w:pPr>
        <w:pStyle w:val="Odstavecseseznamem"/>
        <w:numPr>
          <w:ilvl w:val="0"/>
          <w:numId w:val="8"/>
        </w:numPr>
      </w:pPr>
      <w:r>
        <w:t>5</w:t>
      </w:r>
      <w:r w:rsidR="00CD14B9">
        <w:t>0</w:t>
      </w:r>
      <w:r>
        <w:t>x změř</w:t>
      </w:r>
      <w:r w:rsidR="00DD4F4A">
        <w:t>it</w:t>
      </w:r>
      <w:r>
        <w:t xml:space="preserve"> periodu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</m:t>
            </m:r>
          </m:sub>
        </m:sSub>
      </m:oMath>
      <w:r w:rsidR="00D769F5">
        <w:rPr>
          <w:rFonts w:eastAsiaTheme="minorEastAsia"/>
        </w:rPr>
        <w:t xml:space="preserve"> </w:t>
      </w:r>
      <w:r>
        <w:t>kyvadla se závažím a přívažkem v jedn</w:t>
      </w:r>
      <w:r w:rsidR="00C1626F">
        <w:t>om</w:t>
      </w:r>
      <w:r>
        <w:t xml:space="preserve"> </w:t>
      </w:r>
      <w:r w:rsidR="00965658">
        <w:t>ze</w:t>
      </w:r>
      <w:r>
        <w:t xml:space="preserve"> 3 závitů</w:t>
      </w:r>
    </w:p>
    <w:p w:rsidR="00C40DDF" w:rsidRPr="004B15B5" w:rsidRDefault="00C40DDF" w:rsidP="0028038D">
      <w:pPr>
        <w:jc w:val="both"/>
        <w:rPr>
          <w:i/>
        </w:rPr>
      </w:pPr>
      <w:r w:rsidRPr="004B15B5">
        <w:rPr>
          <w:i/>
        </w:rPr>
        <w:t>vyhodnocení:</w:t>
      </w:r>
    </w:p>
    <w:p w:rsidR="00C40DDF" w:rsidRDefault="0028038D" w:rsidP="0028038D">
      <w:pPr>
        <w:jc w:val="both"/>
      </w:pPr>
      <w:r>
        <w:t>ad 1.</w:t>
      </w:r>
    </w:p>
    <w:p w:rsidR="00252BE5" w:rsidRDefault="00252BE5" w:rsidP="0028038D">
      <w:pPr>
        <w:pStyle w:val="Odstavecseseznamem"/>
        <w:numPr>
          <w:ilvl w:val="0"/>
          <w:numId w:val="9"/>
        </w:numPr>
        <w:jc w:val="both"/>
      </w:pPr>
      <w:r>
        <w:t>urč</w:t>
      </w:r>
      <w:r w:rsidR="00DD4F4A">
        <w:t>it</w:t>
      </w:r>
      <w:r>
        <w:t xml:space="preserve"> chybu měření </w:t>
      </w:r>
      <w:r w:rsidR="000809B4">
        <w:t>u hmotností</w:t>
      </w:r>
      <w:r>
        <w:t xml:space="preserve"> kotouče</w:t>
      </w:r>
      <w:r w:rsidR="000809B4">
        <w:t xml:space="preserve"> </w:t>
      </w:r>
      <w:r w:rsidR="000809B4">
        <w:rPr>
          <w:rFonts w:eastAsiaTheme="minorEastAsia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0809B4">
        <w:rPr>
          <w:rFonts w:eastAsiaTheme="minorEastAsia"/>
        </w:rPr>
        <w:t xml:space="preserve">) </w:t>
      </w:r>
      <w:r w:rsidR="000809B4">
        <w:t xml:space="preserve">a válečku </w:t>
      </w:r>
      <w:r w:rsidR="000809B4">
        <w:rPr>
          <w:rFonts w:eastAsiaTheme="minorEastAsia"/>
        </w:rP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0809B4">
        <w:rPr>
          <w:rFonts w:eastAsiaTheme="minorEastAsia"/>
        </w:rPr>
        <w:t xml:space="preserve">) </w:t>
      </w:r>
      <w:r>
        <w:t>torzního kyvadla</w:t>
      </w:r>
    </w:p>
    <w:p w:rsidR="00252BE5" w:rsidRPr="00252BE5" w:rsidRDefault="00252BE5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>
        <w:rPr>
          <w:rFonts w:eastAsiaTheme="minorEastAsia"/>
        </w:rPr>
        <w:t>urč</w:t>
      </w:r>
      <w:r w:rsidR="00DD4F4A">
        <w:rPr>
          <w:rFonts w:eastAsiaTheme="minorEastAsia"/>
        </w:rPr>
        <w:t>it</w:t>
      </w:r>
      <w:r>
        <w:rPr>
          <w:rFonts w:eastAsiaTheme="minorEastAsia"/>
        </w:rPr>
        <w:t xml:space="preserve"> </w:t>
      </w:r>
      <w:r>
        <w:t xml:space="preserve">aritmetický průměr </w:t>
      </w:r>
      <w:r w:rsidR="000809B4">
        <w:t xml:space="preserve">vnitřního </w:t>
      </w:r>
      <w:r>
        <w:t>průměru kotouče</w:t>
      </w:r>
      <w:r w:rsidR="00170494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D16F0C">
        <w:rPr>
          <w:rFonts w:eastAsiaTheme="minorEastAsia"/>
        </w:rPr>
        <w:t xml:space="preserve"> a</w:t>
      </w:r>
      <w:r w:rsidR="00170494">
        <w:t xml:space="preserve"> </w:t>
      </w:r>
      <w:r w:rsidR="000809B4">
        <w:t xml:space="preserve">rozdílu poloměrů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l</m:t>
            </m:r>
          </m:e>
        </m:acc>
      </m:oMath>
      <w:r w:rsidR="00D16F0C">
        <w:t xml:space="preserve"> , </w:t>
      </w:r>
      <w:r w:rsidR="000809B4">
        <w:t xml:space="preserve">vnějšího průměru </w:t>
      </w:r>
      <w:r w:rsidR="00170494">
        <w:t>válečku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 xml:space="preserve">a </w:t>
      </w:r>
      <w:r w:rsidR="00D16F0C">
        <w:t xml:space="preserve">jejich </w:t>
      </w:r>
      <w:r>
        <w:t>pravděpo</w:t>
      </w:r>
      <w:r w:rsidR="000809B4">
        <w:t>dobné</w:t>
      </w:r>
      <w:r>
        <w:t xml:space="preserve"> odchyl</w:t>
      </w:r>
      <w:r w:rsidR="000809B4">
        <w:t>ky</w:t>
      </w:r>
    </w:p>
    <w:p w:rsidR="00170494" w:rsidRDefault="00671576" w:rsidP="0028038D">
      <w:pPr>
        <w:jc w:val="center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170494">
        <w:rPr>
          <w:rFonts w:eastAsiaTheme="minorEastAsia"/>
        </w:rPr>
        <w:t xml:space="preserve">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;</m:t>
        </m:r>
      </m:oMath>
      <w:r w:rsidR="00D16F0C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</w:p>
    <w:p w:rsidR="00170494" w:rsidRPr="00E84A97" w:rsidRDefault="00170494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>
        <w:rPr>
          <w:rFonts w:eastAsiaTheme="minorEastAsia"/>
        </w:rPr>
        <w:t>vypoč</w:t>
      </w:r>
      <w:r w:rsidR="00DD4F4A">
        <w:rPr>
          <w:rFonts w:eastAsiaTheme="minorEastAsia"/>
        </w:rPr>
        <w:t>ítat</w:t>
      </w:r>
      <w:r>
        <w:rPr>
          <w:rFonts w:eastAsiaTheme="minorEastAsia"/>
        </w:rPr>
        <w:t xml:space="preserve"> moment setrvačnosti</w:t>
      </w:r>
      <w:r w:rsidR="00E84A97">
        <w:rPr>
          <w:rFonts w:eastAsiaTheme="minorEastAsia"/>
        </w:rPr>
        <w:t xml:space="preserve"> kotouče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a </w:t>
      </w:r>
      <w:r w:rsidR="00E84A97">
        <w:rPr>
          <w:rFonts w:eastAsiaTheme="minorEastAsia"/>
        </w:rPr>
        <w:t xml:space="preserve">jeho </w:t>
      </w:r>
      <w:r>
        <w:rPr>
          <w:rFonts w:eastAsiaTheme="minorEastAsia"/>
        </w:rPr>
        <w:t xml:space="preserve">pravděpodobnou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K</m:t>
                </m:r>
              </m:sub>
            </m:sSub>
          </m:sub>
        </m:sSub>
      </m:oMath>
    </w:p>
    <w:p w:rsidR="004D0E2D" w:rsidRDefault="00671576" w:rsidP="009D4CA4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m:rPr>
                  <m:nor/>
                </m:rPr>
                <w:rPr>
                  <w:rFonts w:eastAsiaTheme="minorEastAsia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lD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E84A97" w:rsidRPr="00E84A97" w:rsidRDefault="00E84A97" w:rsidP="0028038D">
      <w:pPr>
        <w:ind w:left="360"/>
        <w:jc w:val="both"/>
        <w:rPr>
          <w:rFonts w:ascii="Cambria Math" w:hAnsi="Cambria Math"/>
          <w:oMath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m:rPr>
                    <m:nor/>
                  </m:rPr>
                  <w:rPr>
                    <w:rFonts w:ascii="Cambria Math"/>
                  </w:rPr>
                  <m:t>K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+2lD+2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M(D+l)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M(D+2l)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E84A97" w:rsidRPr="00170494" w:rsidRDefault="00DD4F4A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 w:rsidRPr="00DD4F4A">
        <w:rPr>
          <w:rFonts w:eastAsiaTheme="minorEastAsia"/>
        </w:rPr>
        <w:t>vypočítat</w:t>
      </w:r>
      <w:r w:rsidR="00E84A97">
        <w:rPr>
          <w:rFonts w:eastAsiaTheme="minorEastAsia"/>
        </w:rPr>
        <w:t xml:space="preserve"> moment setrvačnosti válečku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V</m:t>
            </m:r>
          </m:sub>
        </m:sSub>
      </m:oMath>
      <w:r w:rsidR="00E84A97">
        <w:rPr>
          <w:rFonts w:eastAsiaTheme="minorEastAsia"/>
        </w:rPr>
        <w:t xml:space="preserve"> a jeho pravděpodobnou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V</m:t>
                </m:r>
              </m:sub>
            </m:sSub>
          </m:sub>
        </m:sSub>
      </m:oMath>
    </w:p>
    <w:p w:rsidR="004D0E2D" w:rsidRDefault="00671576" w:rsidP="009D4CA4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m:rPr>
                  <m:nor/>
                </m:rPr>
                <w:rPr>
                  <w:rFonts w:eastAsiaTheme="minorEastAsia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70494" w:rsidRPr="00E84A97" w:rsidRDefault="00671576" w:rsidP="009D4CA4">
      <w:pPr>
        <w:pStyle w:val="Odstavecseseznamem"/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m:rPr>
                      <m:nor/>
                    </m:rPr>
                    <m:t>v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md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170494" w:rsidRPr="00170494" w:rsidRDefault="00DD4F4A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 w:rsidRPr="00DD4F4A">
        <w:rPr>
          <w:rFonts w:eastAsiaTheme="minorEastAsia"/>
        </w:rPr>
        <w:t>vypočítat</w:t>
      </w:r>
      <w:r w:rsidR="00170494">
        <w:rPr>
          <w:rFonts w:eastAsiaTheme="minorEastAsia"/>
        </w:rPr>
        <w:t xml:space="preserve"> celkový moment setrvačnosti</w:t>
      </w:r>
      <w:r w:rsidR="00C71AA3">
        <w:rPr>
          <w:rFonts w:eastAsiaTheme="minorEastAsia"/>
        </w:rPr>
        <w:t xml:space="preserve"> kyvadla</w:t>
      </w:r>
      <w:r w:rsidR="0017049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170494">
        <w:rPr>
          <w:rFonts w:eastAsiaTheme="minorEastAsia"/>
        </w:rPr>
        <w:t xml:space="preserve"> a pravděpodobnou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0</m:t>
                </m:r>
              </m:sub>
            </m:sSub>
          </m:sub>
        </m:sSub>
      </m:oMath>
    </w:p>
    <w:p w:rsidR="002B1581" w:rsidRPr="002B1581" w:rsidRDefault="00671576" w:rsidP="009D4CA4">
      <w:pPr>
        <w:pStyle w:val="Odstavecseseznamem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m:rPr>
                  <m:nor/>
                </m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m:rPr>
                  <m:nor/>
                </m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m:rPr>
                  <m:nor/>
                </m:rPr>
                <m:t>v</m:t>
              </m:r>
            </m:sub>
          </m:sSub>
        </m:oMath>
      </m:oMathPara>
    </w:p>
    <w:p w:rsidR="00C9343B" w:rsidRDefault="00671576" w:rsidP="009D4CA4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m:rPr>
                      <m:nor/>
                    </m:rPr>
                    <m:t>0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ϑ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m:rPr>
                          <m:nor/>
                        </m:rPr>
                        <m:t>K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ϑ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m:rPr>
                          <m:nor/>
                        </m:rPr>
                        <m:t>V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982CFC" w:rsidRPr="00982CFC" w:rsidRDefault="0028038D" w:rsidP="001A0545">
      <w:r>
        <w:t>ad 2.</w:t>
      </w:r>
    </w:p>
    <w:p w:rsidR="00D16F0C" w:rsidRPr="00C71AA3" w:rsidRDefault="00DD4F4A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 w:rsidRPr="00C71AA3">
        <w:rPr>
          <w:rFonts w:eastAsiaTheme="minorEastAsia"/>
        </w:rPr>
        <w:t>určit</w:t>
      </w:r>
      <w:r w:rsidR="00D16F0C" w:rsidRPr="00C71AA3">
        <w:rPr>
          <w:rFonts w:eastAsiaTheme="minorEastAsia"/>
        </w:rPr>
        <w:t xml:space="preserve"> průměrnou periodu a odchylku pro torzní kyvadlo</w:t>
      </w:r>
    </w:p>
    <w:p w:rsidR="00965658" w:rsidRPr="00C71AA3" w:rsidRDefault="00671576" w:rsidP="0028038D">
      <w:pPr>
        <w:pStyle w:val="Odstavecseseznamem"/>
        <w:jc w:val="both"/>
        <w:rPr>
          <w:rFonts w:ascii="Cambria Math" w:hAnsi="Cambria Math"/>
          <w:oMath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sub>
          </m:sSub>
        </m:oMath>
      </m:oMathPara>
    </w:p>
    <w:p w:rsidR="00461EB4" w:rsidRPr="00C71AA3" w:rsidRDefault="00DD4F4A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 w:rsidRPr="00C71AA3">
        <w:rPr>
          <w:rFonts w:eastAsiaTheme="minorEastAsia"/>
        </w:rPr>
        <w:t>určit</w:t>
      </w:r>
      <w:r w:rsidR="00965658" w:rsidRPr="00C71AA3">
        <w:rPr>
          <w:rFonts w:eastAsiaTheme="minorEastAsia"/>
        </w:rPr>
        <w:t xml:space="preserve"> průměrnou periodu</w:t>
      </w:r>
      <w:r w:rsidR="00D16F0C" w:rsidRPr="00C71AA3">
        <w:rPr>
          <w:rFonts w:eastAsiaTheme="minorEastAsia"/>
        </w:rPr>
        <w:t xml:space="preserve"> a odchylku pro torzní kyvadlo</w:t>
      </w:r>
      <w:r w:rsidR="00982CFC" w:rsidRPr="00C71AA3">
        <w:rPr>
          <w:rFonts w:eastAsiaTheme="minorEastAsia"/>
        </w:rPr>
        <w:t xml:space="preserve"> se závažím</w:t>
      </w:r>
    </w:p>
    <w:p w:rsidR="00C9343B" w:rsidRPr="00C71AA3" w:rsidRDefault="00671576" w:rsidP="0028038D">
      <w:pPr>
        <w:pStyle w:val="Odstavecseseznamem"/>
        <w:jc w:val="both"/>
        <w:rPr>
          <w:rFonts w:ascii="Cambria Math" w:hAnsi="Cambria Math"/>
          <w:oMath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</m:oMath>
      </m:oMathPara>
    </w:p>
    <w:p w:rsidR="00982CFC" w:rsidRPr="00C71AA3" w:rsidRDefault="00DD4F4A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 w:rsidRPr="00C71AA3">
        <w:rPr>
          <w:rFonts w:eastAsiaTheme="minorEastAsia"/>
        </w:rPr>
        <w:t xml:space="preserve">určit </w:t>
      </w:r>
      <w:r w:rsidR="00965658" w:rsidRPr="00C71AA3">
        <w:rPr>
          <w:rFonts w:eastAsiaTheme="minorEastAsia"/>
        </w:rPr>
        <w:t xml:space="preserve">průměrnou periodu </w:t>
      </w:r>
      <w:r w:rsidR="00982CFC" w:rsidRPr="00C71AA3">
        <w:rPr>
          <w:rFonts w:eastAsiaTheme="minorEastAsia"/>
        </w:rPr>
        <w:t>a odchylku pro torzní kyvadlo se závažím a přívažkem</w:t>
      </w:r>
    </w:p>
    <w:p w:rsidR="00C9343B" w:rsidRPr="00C71AA3" w:rsidRDefault="00671576" w:rsidP="0028038D">
      <w:pPr>
        <w:pStyle w:val="Odstavecseseznamem"/>
        <w:jc w:val="both"/>
        <w:rPr>
          <w:rFonts w:ascii="Cambria Math" w:hAnsi="Cambria Math"/>
          <w:oMath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</m:sub>
          </m:sSub>
        </m:oMath>
      </m:oMathPara>
    </w:p>
    <w:p w:rsidR="00461EB4" w:rsidRPr="00461EB4" w:rsidRDefault="00461EB4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>
        <w:rPr>
          <w:rFonts w:eastAsiaTheme="minorEastAsia"/>
        </w:rPr>
        <w:t>vypočítat</w:t>
      </w:r>
      <w:r w:rsidR="00AA71DE">
        <w:rPr>
          <w:rFonts w:eastAsiaTheme="minorEastAsia"/>
        </w:rPr>
        <w:t xml:space="preserve"> moment setrvačnosti závaží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J</m:t>
        </m:r>
      </m:oMath>
      <w:r w:rsidR="004D0E2D">
        <w:rPr>
          <w:rFonts w:eastAsiaTheme="minorEastAsia"/>
        </w:rPr>
        <w:t xml:space="preserve"> </w:t>
      </w:r>
      <w:r>
        <w:rPr>
          <w:rFonts w:eastAsiaTheme="minorEastAsia"/>
        </w:rPr>
        <w:t>s</w:t>
      </w:r>
      <w:r w:rsidR="005920B8">
        <w:rPr>
          <w:rFonts w:eastAsiaTheme="minorEastAsia"/>
        </w:rPr>
        <w:t> </w:t>
      </w:r>
      <w:r>
        <w:rPr>
          <w:rFonts w:eastAsiaTheme="minorEastAsia"/>
        </w:rPr>
        <w:t>odchylkou</w:t>
      </w:r>
      <w:r w:rsidR="005920B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AA71DE">
        <w:rPr>
          <w:rFonts w:eastAsiaTheme="minorEastAsia"/>
        </w:rPr>
        <w:t xml:space="preserve"> </w:t>
      </w:r>
      <w:r w:rsidR="00C71AA3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C71AA3"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0</m:t>
                </m:r>
              </m:sub>
            </m:sSub>
          </m:sub>
        </m:sSub>
      </m:oMath>
      <w:r w:rsidR="00C71AA3">
        <w:rPr>
          <w:rFonts w:eastAsiaTheme="minorEastAsia"/>
        </w:rPr>
        <w:t xml:space="preserve"> </w:t>
      </w:r>
      <w:r w:rsidR="00AA71DE">
        <w:rPr>
          <w:rFonts w:eastAsiaTheme="minorEastAsia"/>
        </w:rPr>
        <w:t>jsou známy z úlohy 1</w:t>
      </w:r>
      <w:r w:rsidR="00C71AA3">
        <w:rPr>
          <w:rFonts w:eastAsiaTheme="minorEastAsia"/>
        </w:rPr>
        <w:t>)</w:t>
      </w:r>
    </w:p>
    <w:p w:rsidR="00461EB4" w:rsidRPr="005920B8" w:rsidRDefault="00461EB4" w:rsidP="0028038D">
      <w:pPr>
        <w:pStyle w:val="Odstavecseseznamem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J=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o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5920B8" w:rsidRPr="00461EB4" w:rsidRDefault="00671576" w:rsidP="0028038D">
      <w:pPr>
        <w:pStyle w:val="Odstavecseseznamem"/>
        <w:jc w:val="both"/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461EB4" w:rsidRPr="00461EB4" w:rsidRDefault="00461EB4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>
        <w:rPr>
          <w:rFonts w:eastAsiaTheme="minorEastAsia"/>
        </w:rPr>
        <w:t>vypočítat</w:t>
      </w:r>
      <w:r w:rsidR="00AA71DE">
        <w:rPr>
          <w:rFonts w:eastAsiaTheme="minorEastAsia"/>
        </w:rPr>
        <w:t xml:space="preserve"> moment setrvačnosti závaží</w:t>
      </w:r>
      <w:r>
        <w:rPr>
          <w:rFonts w:eastAsiaTheme="minorEastAsia"/>
        </w:rPr>
        <w:t xml:space="preserve"> </w:t>
      </w:r>
      <w:r w:rsidR="00AA71DE">
        <w:rPr>
          <w:rFonts w:eastAsiaTheme="minorEastAsia"/>
        </w:rPr>
        <w:t>s</w:t>
      </w:r>
      <w:r>
        <w:rPr>
          <w:rFonts w:eastAsiaTheme="minorEastAsia"/>
        </w:rPr>
        <w:t xml:space="preserve"> přívažkem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J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,</m:t>
            </m:r>
          </m:sup>
        </m:sSubSup>
      </m:oMath>
      <w:r w:rsidR="004D0E2D">
        <w:rPr>
          <w:rFonts w:eastAsiaTheme="minorEastAsia"/>
        </w:rPr>
        <w:t xml:space="preserve"> </w:t>
      </w:r>
      <w:r>
        <w:rPr>
          <w:rFonts w:eastAsiaTheme="minorEastAsia"/>
        </w:rPr>
        <w:t>s</w:t>
      </w:r>
      <w:r w:rsidR="005920B8">
        <w:rPr>
          <w:rFonts w:eastAsiaTheme="minorEastAsia"/>
        </w:rPr>
        <w:t> </w:t>
      </w:r>
      <w:r>
        <w:rPr>
          <w:rFonts w:eastAsiaTheme="minorEastAsia"/>
        </w:rPr>
        <w:t>odchylkou</w:t>
      </w:r>
      <w:r w:rsidR="005920B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p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´</m:t>
                </m:r>
              </m:sup>
            </m:sSubSup>
          </m:sub>
        </m:sSub>
      </m:oMath>
    </w:p>
    <w:p w:rsidR="00461EB4" w:rsidRPr="004D0E2D" w:rsidRDefault="00671576" w:rsidP="0028038D">
      <w:pPr>
        <w:pStyle w:val="Odstavecseseznamem"/>
        <w:jc w:val="both"/>
        <w:rPr>
          <w:rFonts w:eastAsiaTheme="minorEastAsia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p</m:t>
              </m:r>
            </m:sub>
            <m:sup>
              <m:r>
                <w:rPr>
                  <w:rFonts w:ascii="Cambria Math" w:hAnsi="Cambria Math"/>
                </w:rPr>
                <m:t>,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o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4D0E2D" w:rsidRPr="004D0E2D" w:rsidRDefault="00671576" w:rsidP="0028038D">
      <w:pPr>
        <w:pStyle w:val="Odstavecseseznamem"/>
        <w:jc w:val="both"/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,</m:t>
                  </m:r>
                </m:sup>
              </m:sSubSup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bSup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5920B8" w:rsidRPr="00461EB4" w:rsidRDefault="005920B8" w:rsidP="0028038D">
      <w:pPr>
        <w:pStyle w:val="Odstavecseseznamem"/>
        <w:numPr>
          <w:ilvl w:val="0"/>
          <w:numId w:val="9"/>
        </w:numPr>
        <w:jc w:val="both"/>
        <w:rPr>
          <w:rFonts w:ascii="Cambria Math" w:hAnsi="Cambria Math"/>
          <w:oMath/>
        </w:rPr>
      </w:pPr>
      <w:r>
        <w:rPr>
          <w:rFonts w:eastAsiaTheme="minorEastAsia"/>
        </w:rPr>
        <w:t xml:space="preserve">vypočítat moment setrvačnosti </w:t>
      </w:r>
      <w:r w:rsidR="00AA71DE">
        <w:rPr>
          <w:rFonts w:eastAsiaTheme="minorEastAsia"/>
        </w:rPr>
        <w:t xml:space="preserve">samotného </w:t>
      </w:r>
      <w:r>
        <w:rPr>
          <w:rFonts w:eastAsiaTheme="minorEastAsia"/>
        </w:rPr>
        <w:t xml:space="preserve">přívažku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p</m:t>
            </m:r>
          </m:sub>
        </m:sSub>
      </m:oMath>
      <w:r w:rsidR="00AA71DE">
        <w:rPr>
          <w:rFonts w:eastAsiaTheme="minorEastAsia"/>
        </w:rPr>
        <w:t xml:space="preserve"> </w:t>
      </w:r>
      <w:r>
        <w:rPr>
          <w:rFonts w:eastAsiaTheme="minorEastAsia"/>
        </w:rPr>
        <w:t xml:space="preserve">s odchylkou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p</m:t>
                </m:r>
              </m:sub>
            </m:sSub>
          </m:sub>
        </m:sSub>
      </m:oMath>
    </w:p>
    <w:p w:rsidR="00461EB4" w:rsidRPr="0028038D" w:rsidRDefault="00671576" w:rsidP="0028038D">
      <w:pPr>
        <w:pStyle w:val="Odstavecseseznamem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</w:rPr>
                <m:t>´</m:t>
              </m:r>
            </m:sup>
          </m:sSubSup>
          <m:r>
            <w:rPr>
              <w:rFonts w:ascii="Cambria Math" w:eastAsiaTheme="minorEastAsia" w:hAnsi="Cambria Math"/>
            </w:rPr>
            <m:t>-J</m:t>
          </m:r>
        </m:oMath>
      </m:oMathPara>
      <w:bookmarkStart w:id="0" w:name="_GoBack"/>
      <w:bookmarkEnd w:id="0"/>
    </w:p>
    <w:p w:rsidR="00C9343B" w:rsidRDefault="00671576" w:rsidP="009D4CA4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m:rPr>
                      <m:nor/>
                    </m:rPr>
                    <m:t>p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ϑ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m:rPr>
                          <m:nor/>
                        </m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</m:sup>
                  </m:sSub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1A0545" w:rsidRPr="001A0545" w:rsidRDefault="001A0545">
      <w:pPr>
        <w:rPr>
          <w:rFonts w:eastAsiaTheme="minorEastAsia"/>
          <w:i/>
        </w:rPr>
      </w:pPr>
      <w:r w:rsidRPr="001A0545">
        <w:rPr>
          <w:rFonts w:eastAsiaTheme="minorEastAsia"/>
          <w:i/>
        </w:rPr>
        <w:t>poznámka:</w:t>
      </w:r>
    </w:p>
    <w:p w:rsidR="001A0545" w:rsidRDefault="001A0545" w:rsidP="001A0545">
      <w:r>
        <w:t xml:space="preserve">Všechny výsledky zaokrouhlete podle odchylky zaokrouhlené na jednu platnou číslici a uveďte ve 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 příslušnými jednotkami.</w:t>
      </w:r>
    </w:p>
    <w:p w:rsidR="00C9343B" w:rsidRDefault="00C9343B">
      <w:pPr>
        <w:rPr>
          <w:rFonts w:eastAsiaTheme="minorEastAsia"/>
        </w:rPr>
      </w:pPr>
    </w:p>
    <w:sectPr w:rsidR="00C9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1425A"/>
    <w:rsid w:val="000701B3"/>
    <w:rsid w:val="000809B4"/>
    <w:rsid w:val="00092120"/>
    <w:rsid w:val="000B366C"/>
    <w:rsid w:val="000D5742"/>
    <w:rsid w:val="001040E8"/>
    <w:rsid w:val="001043A1"/>
    <w:rsid w:val="00133FA0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62F5"/>
    <w:rsid w:val="00427136"/>
    <w:rsid w:val="00441F83"/>
    <w:rsid w:val="00461EB4"/>
    <w:rsid w:val="00463964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671576"/>
    <w:rsid w:val="006727CC"/>
    <w:rsid w:val="00691F6E"/>
    <w:rsid w:val="006C481A"/>
    <w:rsid w:val="006D3451"/>
    <w:rsid w:val="006D58CF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814377"/>
    <w:rsid w:val="00825E62"/>
    <w:rsid w:val="00830199"/>
    <w:rsid w:val="00831FD5"/>
    <w:rsid w:val="008329E8"/>
    <w:rsid w:val="0083719F"/>
    <w:rsid w:val="008408EB"/>
    <w:rsid w:val="00844619"/>
    <w:rsid w:val="008F5EEE"/>
    <w:rsid w:val="00904A93"/>
    <w:rsid w:val="009169E6"/>
    <w:rsid w:val="0092569E"/>
    <w:rsid w:val="00936144"/>
    <w:rsid w:val="00965658"/>
    <w:rsid w:val="00982CFC"/>
    <w:rsid w:val="00996F8C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57F5"/>
    <w:rsid w:val="00B56B1A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B6BDE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9E115-7281-46E9-BA23-6A5B6946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08AD-2869-4C16-95D7-A2B07FC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Vladimír Vochozka</cp:lastModifiedBy>
  <cp:revision>3</cp:revision>
  <cp:lastPrinted>2013-03-28T14:49:00Z</cp:lastPrinted>
  <dcterms:created xsi:type="dcterms:W3CDTF">2013-03-28T14:50:00Z</dcterms:created>
  <dcterms:modified xsi:type="dcterms:W3CDTF">2014-03-27T19:17:00Z</dcterms:modified>
</cp:coreProperties>
</file>