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17D" w:rsidRDefault="009E517D" w:rsidP="00657246">
      <w:pPr>
        <w:spacing w:after="0"/>
        <w:jc w:val="center"/>
        <w:rPr>
          <w:rFonts w:ascii="Calibri Light" w:hAnsi="Calibri Light" w:cs="Times New Roman"/>
          <w:b/>
          <w:sz w:val="28"/>
          <w:szCs w:val="28"/>
        </w:rPr>
      </w:pPr>
      <w:bookmarkStart w:id="0" w:name="_GoBack"/>
      <w:bookmarkEnd w:id="0"/>
      <w:r w:rsidRPr="00035992">
        <w:rPr>
          <w:rFonts w:ascii="Calibri Light" w:hAnsi="Calibri Light" w:cs="Times New Roman"/>
          <w:b/>
          <w:sz w:val="28"/>
          <w:szCs w:val="28"/>
        </w:rPr>
        <w:t xml:space="preserve">Doporučená </w:t>
      </w:r>
      <w:r>
        <w:rPr>
          <w:rFonts w:ascii="Calibri Light" w:hAnsi="Calibri Light" w:cs="Times New Roman"/>
          <w:b/>
          <w:sz w:val="28"/>
          <w:szCs w:val="28"/>
        </w:rPr>
        <w:t>osnova</w:t>
      </w:r>
      <w:r w:rsidRPr="00035992">
        <w:rPr>
          <w:rFonts w:ascii="Calibri Light" w:hAnsi="Calibri Light" w:cs="Times New Roman"/>
          <w:b/>
          <w:sz w:val="28"/>
          <w:szCs w:val="28"/>
        </w:rPr>
        <w:t xml:space="preserve"> sebehodnotící zprávy </w:t>
      </w:r>
    </w:p>
    <w:p w:rsidR="009E517D" w:rsidRDefault="009E517D" w:rsidP="00657246">
      <w:pPr>
        <w:jc w:val="center"/>
        <w:rPr>
          <w:rFonts w:ascii="Calibri Light" w:hAnsi="Calibri Light" w:cs="Times New Roman"/>
          <w:b/>
          <w:sz w:val="28"/>
          <w:szCs w:val="28"/>
        </w:rPr>
      </w:pPr>
      <w:r w:rsidRPr="00035992">
        <w:rPr>
          <w:rFonts w:ascii="Calibri Light" w:hAnsi="Calibri Light" w:cs="Times New Roman"/>
          <w:b/>
          <w:sz w:val="28"/>
          <w:szCs w:val="28"/>
        </w:rPr>
        <w:t xml:space="preserve">pro akreditaci </w:t>
      </w:r>
      <w:r>
        <w:rPr>
          <w:rFonts w:ascii="Calibri Light" w:hAnsi="Calibri Light" w:cs="Times New Roman"/>
          <w:b/>
          <w:sz w:val="28"/>
          <w:szCs w:val="28"/>
        </w:rPr>
        <w:t>studijních programů</w:t>
      </w:r>
    </w:p>
    <w:p w:rsidR="009E517D" w:rsidRPr="009D7F29" w:rsidRDefault="009E517D" w:rsidP="00657246">
      <w:pPr>
        <w:spacing w:after="0" w:line="240" w:lineRule="auto"/>
        <w:jc w:val="center"/>
        <w:rPr>
          <w:rFonts w:cs="Times New Roman"/>
          <w:bCs/>
        </w:rPr>
      </w:pPr>
      <w:r w:rsidRPr="009D7F29">
        <w:rPr>
          <w:rFonts w:cs="Times New Roman"/>
          <w:bCs/>
        </w:rPr>
        <w:t>podklad</w:t>
      </w:r>
      <w:r>
        <w:rPr>
          <w:rFonts w:cs="Times New Roman"/>
          <w:bCs/>
        </w:rPr>
        <w:t xml:space="preserve"> pro přílohu E</w:t>
      </w:r>
    </w:p>
    <w:p w:rsidR="009E517D" w:rsidRDefault="009E517D" w:rsidP="00DA6089">
      <w:pPr>
        <w:jc w:val="center"/>
        <w:rPr>
          <w:rFonts w:ascii="Calibri Light" w:hAnsi="Calibri Light" w:cs="Times New Roman"/>
          <w:b/>
          <w:sz w:val="28"/>
          <w:szCs w:val="28"/>
        </w:rPr>
      </w:pPr>
    </w:p>
    <w:p w:rsidR="009E517D" w:rsidRDefault="009E517D" w:rsidP="00C24C51">
      <w:pPr>
        <w:spacing w:after="0"/>
        <w:ind w:left="426"/>
        <w:jc w:val="both"/>
      </w:pPr>
      <w:r w:rsidRPr="000855AE">
        <w:t>V j</w:t>
      </w:r>
      <w:r>
        <w:t>ednotlivých částech sebehodnotí</w:t>
      </w:r>
      <w:r w:rsidRPr="000855AE">
        <w:t xml:space="preserve">cí zprávy se uvádí naplnění standardů dle </w:t>
      </w:r>
      <w:r>
        <w:t>bodů</w:t>
      </w:r>
      <w:r w:rsidRPr="000855AE">
        <w:t xml:space="preserve"> uvedených </w:t>
      </w:r>
      <w:r>
        <w:t>v příloze tohoto podkladu, tak jak jsou označeny za každým nadpisem osnovy. Některé části lze v sebehodnotící zprávě vynechat, pokud nejsou u daného studijního programu relevantní. Tyto body jsou v osnově červeně označeny.</w:t>
      </w:r>
    </w:p>
    <w:p w:rsidR="009E517D" w:rsidRDefault="009E517D" w:rsidP="000B3D78">
      <w:pPr>
        <w:spacing w:after="0"/>
        <w:ind w:left="426"/>
        <w:jc w:val="both"/>
      </w:pPr>
      <w:r>
        <w:t>Sebehodnotící zprava by měla být svázaná s faktickým popisem uskutečňování studijního plánu, a </w:t>
      </w:r>
      <w:r w:rsidRPr="000855AE">
        <w:t xml:space="preserve">to formou odkazu na jednotlivé přílohy </w:t>
      </w:r>
      <w:r>
        <w:t>žádosti o akreditaci</w:t>
      </w:r>
      <w:r w:rsidRPr="000855AE">
        <w:t>, nebo odkazem na dokumenty volně přístupné na internetových stánkách vysoké školy. U rozsáhlejších dokumentů se pak uvádí i upřesnění, kde jsou tyto informace obsaženy (číslo stránky, kapitola apod.)</w:t>
      </w:r>
      <w:r>
        <w:t>.</w:t>
      </w:r>
    </w:p>
    <w:p w:rsidR="009E517D" w:rsidRPr="000855AE" w:rsidRDefault="009E517D" w:rsidP="0019620C">
      <w:pPr>
        <w:spacing w:after="0"/>
        <w:ind w:left="426"/>
        <w:jc w:val="both"/>
      </w:pPr>
    </w:p>
    <w:p w:rsidR="009E517D" w:rsidRDefault="009E517D" w:rsidP="008624B2">
      <w:pPr>
        <w:pStyle w:val="Heading1"/>
      </w:pPr>
      <w:r w:rsidRPr="008624B2">
        <w:t>Instituce</w:t>
      </w:r>
    </w:p>
    <w:p w:rsidR="009E517D" w:rsidRDefault="009E517D" w:rsidP="0019620C">
      <w:pPr>
        <w:spacing w:after="0"/>
        <w:ind w:left="426"/>
        <w:jc w:val="both"/>
      </w:pPr>
      <w:r w:rsidRPr="000855AE">
        <w:t xml:space="preserve">Pokud Zpráva o vnitřním hodnocení a poslední dodatek k této zprávě již byly posouzeny a od posledního posouzení obecných požadavků pro akreditace neuplynulo více než 12 měsíců, </w:t>
      </w:r>
      <w:r>
        <w:t xml:space="preserve">nebude se </w:t>
      </w:r>
      <w:r w:rsidRPr="000855AE">
        <w:t>v</w:t>
      </w:r>
      <w:r>
        <w:t xml:space="preserve"> souladu s čl. 33 Statutu NAÚ </w:t>
      </w:r>
      <w:r w:rsidRPr="000855AE">
        <w:t>hodnoticí komise či</w:t>
      </w:r>
      <w:r>
        <w:t>nností vysoké školy ve vztahu k </w:t>
      </w:r>
      <w:r w:rsidRPr="000855AE">
        <w:t xml:space="preserve">části standardů pro akreditaci studijního programu podle § 78a odst. 2 písm. b) body </w:t>
      </w:r>
      <w:smartTag w:uri="urn:schemas-microsoft-com:office:smarttags" w:element="metricconverter">
        <w:smartTagPr>
          <w:attr w:name="ProductID" w:val="2 a"/>
        </w:smartTagPr>
        <w:r w:rsidRPr="000855AE">
          <w:t>2 a</w:t>
        </w:r>
      </w:smartTag>
      <w:r w:rsidRPr="000855AE">
        <w:t xml:space="preserve"> 3 </w:t>
      </w:r>
      <w:r>
        <w:t>zákona o vysokých školách</w:t>
      </w:r>
      <w:r w:rsidRPr="000855AE">
        <w:t xml:space="preserve"> a</w:t>
      </w:r>
      <w:r>
        <w:t>ni</w:t>
      </w:r>
      <w:r w:rsidRPr="000855AE">
        <w:t xml:space="preserve"> funkčnost</w:t>
      </w:r>
      <w:r>
        <w:t>í systému zajišťování kvality a </w:t>
      </w:r>
      <w:r w:rsidRPr="000855AE">
        <w:t xml:space="preserve">vnitřního hodnocení kvality vzdělávací, tvůrčí a s nimi souvisejících činností </w:t>
      </w:r>
      <w:r>
        <w:t>zabývat (ledaže by o to vysoká škola požádala) a není tedy nutno část I.</w:t>
      </w:r>
      <w:r w:rsidRPr="000855AE">
        <w:t xml:space="preserve"> zahrnout do hodnotící zprávy.</w:t>
      </w:r>
      <w:r>
        <w:t xml:space="preserve"> </w:t>
      </w:r>
    </w:p>
    <w:p w:rsidR="009E517D" w:rsidRDefault="009E517D" w:rsidP="002F1D94">
      <w:pPr>
        <w:spacing w:after="0"/>
        <w:ind w:left="426"/>
        <w:rPr>
          <w:rFonts w:ascii="Times New Roman" w:hAnsi="Times New Roman" w:cs="Times New Roman"/>
          <w:bCs/>
          <w:sz w:val="24"/>
          <w:szCs w:val="24"/>
          <w:u w:val="single"/>
        </w:rPr>
      </w:pPr>
    </w:p>
    <w:p w:rsidR="009E517D" w:rsidRPr="00745E75" w:rsidRDefault="009E517D" w:rsidP="008624B2">
      <w:pPr>
        <w:pStyle w:val="Heading2"/>
      </w:pPr>
      <w:r w:rsidRPr="00745E75">
        <w:t>Působnost orgánů vysoké školy</w:t>
      </w:r>
    </w:p>
    <w:p w:rsidR="009E517D" w:rsidRDefault="009E517D" w:rsidP="000855AE">
      <w:pPr>
        <w:tabs>
          <w:tab w:val="left" w:pos="2835"/>
        </w:tabs>
        <w:spacing w:before="120" w:after="120"/>
      </w:pPr>
      <w:r>
        <w:tab/>
      </w:r>
      <w:r>
        <w:tab/>
        <w:t>Standardy 1.1-1.2</w:t>
      </w:r>
    </w:p>
    <w:p w:rsidR="009E517D" w:rsidRDefault="009E517D" w:rsidP="00035992">
      <w:pPr>
        <w:pStyle w:val="Heading2"/>
      </w:pPr>
    </w:p>
    <w:p w:rsidR="009E517D" w:rsidRDefault="009E517D" w:rsidP="00035992">
      <w:pPr>
        <w:pStyle w:val="Heading2"/>
      </w:pPr>
      <w:r w:rsidRPr="00035992">
        <w:t xml:space="preserve">Vnitřní systém zajišťování kvality </w:t>
      </w:r>
    </w:p>
    <w:p w:rsidR="009E517D" w:rsidRDefault="009E517D" w:rsidP="00C80B17">
      <w:pPr>
        <w:pStyle w:val="Heading3"/>
      </w:pPr>
      <w:r w:rsidRPr="00035992">
        <w:t>Vymezení pravomoci a odpovědnost za kvalitu</w:t>
      </w:r>
    </w:p>
    <w:p w:rsidR="009E517D" w:rsidRPr="00C80B17" w:rsidRDefault="009E517D" w:rsidP="00C80B17">
      <w:pPr>
        <w:tabs>
          <w:tab w:val="left" w:pos="2835"/>
        </w:tabs>
        <w:spacing w:before="120" w:after="120"/>
      </w:pPr>
      <w:r>
        <w:tab/>
      </w:r>
      <w:r>
        <w:tab/>
      </w:r>
      <w:r w:rsidRPr="00C80B17">
        <w:t xml:space="preserve">Standard 1.3 </w:t>
      </w:r>
    </w:p>
    <w:p w:rsidR="009E517D" w:rsidRPr="00C80B17" w:rsidRDefault="009E517D" w:rsidP="00C80B17">
      <w:pPr>
        <w:pStyle w:val="Heading3"/>
      </w:pPr>
      <w:r w:rsidRPr="00C80B17">
        <w:t xml:space="preserve">Procesy vzniku a úprav studijních programů </w:t>
      </w:r>
    </w:p>
    <w:p w:rsidR="009E517D" w:rsidRPr="00C80B17" w:rsidRDefault="009E517D" w:rsidP="00C80B17">
      <w:pPr>
        <w:tabs>
          <w:tab w:val="left" w:pos="2835"/>
        </w:tabs>
        <w:spacing w:before="120" w:after="120"/>
      </w:pPr>
      <w:r w:rsidRPr="00C80B17">
        <w:tab/>
      </w:r>
      <w:r w:rsidRPr="00C80B17">
        <w:tab/>
        <w:t>Standard 1.4</w:t>
      </w:r>
    </w:p>
    <w:p w:rsidR="009E517D" w:rsidRPr="00C80B17" w:rsidRDefault="009E517D" w:rsidP="00C80B17">
      <w:pPr>
        <w:pStyle w:val="Heading3"/>
      </w:pPr>
      <w:r w:rsidRPr="00C80B17">
        <w:t xml:space="preserve">Principy a systém uznávání zahraničního vzdělávání pro přijetí ke studiu </w:t>
      </w:r>
    </w:p>
    <w:p w:rsidR="009E517D" w:rsidRPr="00C80B17" w:rsidRDefault="009E517D" w:rsidP="00C80B17">
      <w:pPr>
        <w:tabs>
          <w:tab w:val="left" w:pos="2835"/>
        </w:tabs>
        <w:spacing w:before="120" w:after="120"/>
      </w:pPr>
      <w:r w:rsidRPr="00C80B17">
        <w:tab/>
      </w:r>
      <w:r w:rsidRPr="00C80B17">
        <w:tab/>
        <w:t>Standard 1.5</w:t>
      </w:r>
    </w:p>
    <w:p w:rsidR="009E517D" w:rsidRPr="00C80B17" w:rsidRDefault="009E517D" w:rsidP="00C80B17">
      <w:pPr>
        <w:pStyle w:val="Heading3"/>
      </w:pPr>
      <w:r w:rsidRPr="00C80B17">
        <w:t xml:space="preserve">Vedení kvalifikačních a rigorózních prací </w:t>
      </w:r>
    </w:p>
    <w:p w:rsidR="009E517D" w:rsidRPr="00C80B17" w:rsidRDefault="009E517D" w:rsidP="00C80B17">
      <w:pPr>
        <w:tabs>
          <w:tab w:val="left" w:pos="2835"/>
        </w:tabs>
        <w:spacing w:before="120" w:after="120"/>
      </w:pPr>
      <w:r w:rsidRPr="00C80B17">
        <w:tab/>
      </w:r>
      <w:r w:rsidRPr="00C80B17">
        <w:tab/>
        <w:t>Standard 1.6</w:t>
      </w:r>
    </w:p>
    <w:p w:rsidR="009E517D" w:rsidRPr="00C80B17" w:rsidRDefault="009E517D" w:rsidP="00C80B17">
      <w:pPr>
        <w:pStyle w:val="Heading3"/>
      </w:pPr>
      <w:r w:rsidRPr="00C80B17">
        <w:t xml:space="preserve">Procesy zpětné vazby při hodnocení kvality </w:t>
      </w:r>
    </w:p>
    <w:p w:rsidR="009E517D" w:rsidRPr="00C80B17" w:rsidRDefault="009E517D" w:rsidP="00C80B17">
      <w:pPr>
        <w:tabs>
          <w:tab w:val="left" w:pos="2835"/>
        </w:tabs>
        <w:spacing w:before="120" w:after="120"/>
      </w:pPr>
      <w:r w:rsidRPr="00C80B17">
        <w:tab/>
      </w:r>
      <w:r w:rsidRPr="00C80B17">
        <w:tab/>
        <w:t>Standard 1.7</w:t>
      </w:r>
    </w:p>
    <w:p w:rsidR="009E517D" w:rsidRPr="00C80B17" w:rsidRDefault="009E517D" w:rsidP="00C80B17">
      <w:pPr>
        <w:pStyle w:val="Heading3"/>
      </w:pPr>
      <w:r w:rsidRPr="00C80B17">
        <w:t xml:space="preserve">Sledování úspěšnosti </w:t>
      </w:r>
      <w:r>
        <w:t xml:space="preserve">uchazečů o studium, </w:t>
      </w:r>
      <w:r w:rsidRPr="00C80B17">
        <w:t xml:space="preserve">studentů a uplatnitelnosti absolventů </w:t>
      </w:r>
    </w:p>
    <w:p w:rsidR="009E517D" w:rsidRDefault="009E517D" w:rsidP="00C80B17">
      <w:pPr>
        <w:tabs>
          <w:tab w:val="left" w:pos="2835"/>
        </w:tabs>
        <w:spacing w:before="120" w:after="120"/>
      </w:pPr>
      <w:r w:rsidRPr="00C80B17">
        <w:tab/>
      </w:r>
      <w:r w:rsidRPr="00C80B17">
        <w:tab/>
        <w:t>Standard 1.8</w:t>
      </w:r>
    </w:p>
    <w:p w:rsidR="009E517D" w:rsidRDefault="009E517D" w:rsidP="00035992">
      <w:pPr>
        <w:pStyle w:val="Heading2"/>
      </w:pPr>
      <w:r>
        <w:t>Vzd</w:t>
      </w:r>
      <w:r w:rsidRPr="00035992">
        <w:t>ělávací a tvůrčí činnost</w:t>
      </w:r>
    </w:p>
    <w:p w:rsidR="009E517D" w:rsidRDefault="009E517D" w:rsidP="00155275">
      <w:pPr>
        <w:pStyle w:val="Heading3"/>
      </w:pPr>
      <w:r w:rsidRPr="00035992">
        <w:t xml:space="preserve">Mezinárodní rozměr a aplikace soudobého stavu poznání </w:t>
      </w:r>
    </w:p>
    <w:p w:rsidR="009E517D" w:rsidRDefault="009E517D" w:rsidP="000855AE">
      <w:pPr>
        <w:spacing w:before="120" w:after="120"/>
      </w:pPr>
      <w:r>
        <w:tab/>
      </w:r>
      <w:r>
        <w:tab/>
      </w:r>
      <w:r>
        <w:tab/>
      </w:r>
      <w:r>
        <w:tab/>
      </w:r>
      <w:r>
        <w:tab/>
        <w:t>Standard 1.9</w:t>
      </w:r>
    </w:p>
    <w:p w:rsidR="009E517D" w:rsidRDefault="009E517D" w:rsidP="00155275">
      <w:pPr>
        <w:pStyle w:val="Heading3"/>
      </w:pPr>
      <w:r w:rsidRPr="00035992">
        <w:t>Spolupráce s praxí při uskutečňování studijních programů</w:t>
      </w:r>
    </w:p>
    <w:p w:rsidR="009E517D" w:rsidRDefault="009E517D" w:rsidP="000855AE">
      <w:pPr>
        <w:spacing w:before="120" w:after="120"/>
      </w:pPr>
      <w:r>
        <w:tab/>
      </w:r>
      <w:r>
        <w:tab/>
      </w:r>
      <w:r>
        <w:tab/>
      </w:r>
      <w:r>
        <w:tab/>
      </w:r>
      <w:r>
        <w:tab/>
        <w:t>Standard 1.10</w:t>
      </w:r>
    </w:p>
    <w:p w:rsidR="009E517D" w:rsidRDefault="009E517D" w:rsidP="00155275">
      <w:pPr>
        <w:pStyle w:val="Heading3"/>
      </w:pPr>
      <w:r w:rsidRPr="00035992">
        <w:t xml:space="preserve">Spolupráce s praxí při tvorbě studijních programů </w:t>
      </w:r>
    </w:p>
    <w:p w:rsidR="009E517D" w:rsidRDefault="009E517D" w:rsidP="000855AE">
      <w:pPr>
        <w:spacing w:before="120" w:after="120"/>
      </w:pPr>
      <w:r>
        <w:tab/>
      </w:r>
      <w:r>
        <w:tab/>
      </w:r>
      <w:r>
        <w:tab/>
      </w:r>
      <w:r>
        <w:tab/>
      </w:r>
      <w:r>
        <w:tab/>
        <w:t>Standard 1.11</w:t>
      </w:r>
    </w:p>
    <w:p w:rsidR="009E517D" w:rsidRDefault="009E517D" w:rsidP="00035992">
      <w:pPr>
        <w:pStyle w:val="Heading2"/>
      </w:pPr>
    </w:p>
    <w:p w:rsidR="009E517D" w:rsidRDefault="009E517D" w:rsidP="00035992">
      <w:pPr>
        <w:pStyle w:val="Heading2"/>
      </w:pPr>
      <w:r w:rsidRPr="00035992">
        <w:t xml:space="preserve">Podpůrné zdroje a administrativa </w:t>
      </w:r>
    </w:p>
    <w:p w:rsidR="009E517D" w:rsidRDefault="009E517D" w:rsidP="00155275">
      <w:pPr>
        <w:pStyle w:val="Heading3"/>
      </w:pPr>
      <w:r w:rsidRPr="00035992">
        <w:t xml:space="preserve">Informační systém </w:t>
      </w:r>
    </w:p>
    <w:p w:rsidR="009E517D" w:rsidRPr="00C80B17" w:rsidRDefault="009E517D" w:rsidP="00C80B17">
      <w:pPr>
        <w:tabs>
          <w:tab w:val="left" w:pos="2835"/>
        </w:tabs>
        <w:spacing w:before="120" w:after="120"/>
      </w:pPr>
      <w:r>
        <w:tab/>
      </w:r>
      <w:r>
        <w:tab/>
      </w:r>
      <w:r w:rsidRPr="00C80B17">
        <w:t>Standard 1.12</w:t>
      </w:r>
    </w:p>
    <w:p w:rsidR="009E517D" w:rsidRPr="00C80B17" w:rsidRDefault="009E517D" w:rsidP="00C80B17">
      <w:pPr>
        <w:pStyle w:val="Heading3"/>
      </w:pPr>
      <w:r w:rsidRPr="00C80B17">
        <w:t xml:space="preserve">Knihovny a elektronické zdroje </w:t>
      </w:r>
    </w:p>
    <w:p w:rsidR="009E517D" w:rsidRPr="00C80B17" w:rsidRDefault="009E517D" w:rsidP="00C80B17">
      <w:pPr>
        <w:tabs>
          <w:tab w:val="left" w:pos="2835"/>
        </w:tabs>
        <w:spacing w:before="120" w:after="120"/>
      </w:pPr>
      <w:r w:rsidRPr="00C80B17">
        <w:tab/>
      </w:r>
      <w:r w:rsidRPr="00C80B17">
        <w:tab/>
        <w:t>Standard 1.13</w:t>
      </w:r>
    </w:p>
    <w:p w:rsidR="009E517D" w:rsidRPr="00C80B17" w:rsidRDefault="009E517D" w:rsidP="00C80B17">
      <w:pPr>
        <w:pStyle w:val="Heading3"/>
      </w:pPr>
      <w:r w:rsidRPr="00C80B17">
        <w:t xml:space="preserve">Studium studentů se specifickými potřebami </w:t>
      </w:r>
    </w:p>
    <w:p w:rsidR="009E517D" w:rsidRPr="00C80B17" w:rsidRDefault="009E517D" w:rsidP="00C80B17">
      <w:pPr>
        <w:tabs>
          <w:tab w:val="left" w:pos="2835"/>
        </w:tabs>
        <w:spacing w:before="120" w:after="120"/>
      </w:pPr>
      <w:r w:rsidRPr="00C80B17">
        <w:tab/>
      </w:r>
      <w:r w:rsidRPr="00C80B17">
        <w:tab/>
        <w:t>Standard 1.14</w:t>
      </w:r>
    </w:p>
    <w:p w:rsidR="009E517D" w:rsidRPr="00C80B17" w:rsidRDefault="009E517D" w:rsidP="00C80B17">
      <w:pPr>
        <w:pStyle w:val="Heading3"/>
      </w:pPr>
      <w:r w:rsidRPr="00C80B17">
        <w:t xml:space="preserve">Opatření proti neetickému jednání </w:t>
      </w:r>
      <w:r>
        <w:t>a k ochraně duševního vlastnictví</w:t>
      </w:r>
    </w:p>
    <w:p w:rsidR="009E517D" w:rsidRDefault="009E517D" w:rsidP="00C80B17">
      <w:pPr>
        <w:tabs>
          <w:tab w:val="left" w:pos="2835"/>
        </w:tabs>
        <w:spacing w:before="120" w:after="120"/>
      </w:pPr>
      <w:r w:rsidRPr="00C80B17">
        <w:tab/>
      </w:r>
      <w:r w:rsidRPr="00C80B17">
        <w:tab/>
        <w:t>Standard 1.15</w:t>
      </w:r>
    </w:p>
    <w:p w:rsidR="009E517D" w:rsidRDefault="009E517D" w:rsidP="008624B2">
      <w:pPr>
        <w:pStyle w:val="Heading1"/>
      </w:pPr>
      <w:r w:rsidRPr="00035992">
        <w:t xml:space="preserve">Studijní </w:t>
      </w:r>
      <w:r w:rsidRPr="008624B2">
        <w:t>program</w:t>
      </w:r>
    </w:p>
    <w:p w:rsidR="009E517D" w:rsidRDefault="009E517D" w:rsidP="00320E00">
      <w:pPr>
        <w:spacing w:after="0"/>
        <w:rPr>
          <w:rFonts w:ascii="Times New Roman" w:hAnsi="Times New Roman" w:cs="Times New Roman"/>
          <w:bCs/>
          <w:sz w:val="24"/>
          <w:szCs w:val="24"/>
        </w:rPr>
      </w:pPr>
    </w:p>
    <w:p w:rsidR="009E517D" w:rsidRDefault="009E517D" w:rsidP="00035992">
      <w:pPr>
        <w:pStyle w:val="Heading2"/>
      </w:pPr>
      <w:r w:rsidRPr="00035992">
        <w:t xml:space="preserve">Soulad studijního programu s posláním vysoké školy a mezinárodní rozměr studijního programu </w:t>
      </w:r>
    </w:p>
    <w:p w:rsidR="009E517D" w:rsidRDefault="009E517D" w:rsidP="000855AE">
      <w:pPr>
        <w:pStyle w:val="Heading3"/>
        <w:ind w:left="993" w:hanging="284"/>
      </w:pPr>
      <w:r>
        <w:t>Soulad studijního programu s posláním a strategickými dokumenty vysoké školy</w:t>
      </w:r>
      <w:r>
        <w:tab/>
      </w:r>
      <w:r>
        <w:tab/>
      </w:r>
      <w:r>
        <w:tab/>
      </w:r>
      <w:r>
        <w:tab/>
        <w:t>Standard 2.1</w:t>
      </w:r>
    </w:p>
    <w:p w:rsidR="009E517D" w:rsidRDefault="009E517D" w:rsidP="008848E6">
      <w:pPr>
        <w:pStyle w:val="Heading3"/>
        <w:ind w:left="993" w:hanging="273"/>
      </w:pPr>
      <w:r>
        <w:t xml:space="preserve">Souvislost s tvůrčí činností vysoké školy </w:t>
      </w:r>
      <w:r w:rsidRPr="008848E6">
        <w:rPr>
          <w:color w:val="FF0000"/>
        </w:rPr>
        <w:t>(pouze pro akademicky zaměřené studijní programy)</w:t>
      </w:r>
    </w:p>
    <w:p w:rsidR="009E517D" w:rsidRPr="008848E6" w:rsidRDefault="009E517D" w:rsidP="008848E6">
      <w:pPr>
        <w:spacing w:after="0"/>
        <w:ind w:left="3540"/>
      </w:pPr>
      <w:r>
        <w:t>Standard 2.2</w:t>
      </w:r>
    </w:p>
    <w:p w:rsidR="009E517D" w:rsidRDefault="009E517D" w:rsidP="000855AE">
      <w:pPr>
        <w:pStyle w:val="Heading3"/>
        <w:ind w:left="993" w:hanging="284"/>
      </w:pPr>
      <w:r>
        <w:t xml:space="preserve">Spolupráce s praxí </w:t>
      </w:r>
      <w:r w:rsidRPr="00745E75">
        <w:rPr>
          <w:color w:val="FF0000"/>
        </w:rPr>
        <w:t>(pouze pro profesně zaměřené studijní programy)</w:t>
      </w:r>
      <w:r>
        <w:tab/>
      </w:r>
      <w:r>
        <w:tab/>
      </w:r>
      <w:r>
        <w:tab/>
      </w:r>
      <w:r>
        <w:tab/>
      </w:r>
      <w:r>
        <w:tab/>
      </w:r>
      <w:r>
        <w:tab/>
        <w:t>Standard 2.2</w:t>
      </w:r>
    </w:p>
    <w:p w:rsidR="009E517D" w:rsidRDefault="009E517D" w:rsidP="000855AE">
      <w:pPr>
        <w:pStyle w:val="Heading3"/>
      </w:pPr>
      <w:r>
        <w:t xml:space="preserve">Souvislost s vědeckou/uměleckou činností vysoké školy </w:t>
      </w:r>
      <w:r w:rsidRPr="00745E75">
        <w:rPr>
          <w:color w:val="FF0000"/>
        </w:rPr>
        <w:t>(pouze pro doktorské studijní programy)</w:t>
      </w:r>
    </w:p>
    <w:p w:rsidR="009E517D" w:rsidRDefault="009E517D" w:rsidP="00C80B17">
      <w:pPr>
        <w:ind w:left="3540"/>
      </w:pPr>
      <w:r>
        <w:t>Standard 2.2</w:t>
      </w:r>
    </w:p>
    <w:p w:rsidR="009E517D" w:rsidRPr="000855AE" w:rsidRDefault="009E517D" w:rsidP="000855AE">
      <w:pPr>
        <w:pStyle w:val="Heading3"/>
      </w:pPr>
      <w:r>
        <w:t>Mezinárodní rozměr studijního programu</w:t>
      </w:r>
    </w:p>
    <w:p w:rsidR="009E517D" w:rsidRDefault="009E517D" w:rsidP="00C80B17">
      <w:pPr>
        <w:ind w:left="2832" w:firstLine="708"/>
      </w:pPr>
      <w:r>
        <w:t>Standard 2.3</w:t>
      </w:r>
    </w:p>
    <w:p w:rsidR="009E517D" w:rsidRDefault="009E517D" w:rsidP="00035992">
      <w:pPr>
        <w:pStyle w:val="Heading2"/>
      </w:pPr>
      <w:r w:rsidRPr="00035992">
        <w:t xml:space="preserve">Profil absolventa a obsah studia </w:t>
      </w:r>
    </w:p>
    <w:p w:rsidR="009E517D" w:rsidRDefault="009E517D" w:rsidP="00155275">
      <w:pPr>
        <w:pStyle w:val="Heading3"/>
      </w:pPr>
      <w:r w:rsidRPr="00035992">
        <w:t>Soulad získaných odborných</w:t>
      </w:r>
      <w:r>
        <w:t xml:space="preserve"> znalostí,</w:t>
      </w:r>
      <w:r w:rsidRPr="00035992">
        <w:t xml:space="preserve"> dovedností</w:t>
      </w:r>
      <w:r>
        <w:t xml:space="preserve"> a způsobilostí</w:t>
      </w:r>
      <w:r w:rsidRPr="00035992">
        <w:t xml:space="preserve"> s typem a profilem studijního programu </w:t>
      </w:r>
    </w:p>
    <w:p w:rsidR="009E517D" w:rsidRPr="00650764" w:rsidRDefault="009E517D" w:rsidP="00650764">
      <w:pPr>
        <w:tabs>
          <w:tab w:val="left" w:pos="2835"/>
        </w:tabs>
        <w:spacing w:before="120" w:after="120"/>
      </w:pPr>
      <w:r>
        <w:tab/>
      </w:r>
      <w:r>
        <w:tab/>
      </w:r>
      <w:r w:rsidRPr="00650764">
        <w:t>Standard 2.4</w:t>
      </w:r>
    </w:p>
    <w:p w:rsidR="009E517D" w:rsidRPr="00650764" w:rsidRDefault="009E517D" w:rsidP="00650764">
      <w:pPr>
        <w:pStyle w:val="Heading3"/>
      </w:pPr>
      <w:r w:rsidRPr="00650764">
        <w:t xml:space="preserve">Jazykové kompetence </w:t>
      </w:r>
    </w:p>
    <w:p w:rsidR="009E517D" w:rsidRPr="00650764" w:rsidRDefault="009E517D" w:rsidP="00650764">
      <w:pPr>
        <w:tabs>
          <w:tab w:val="left" w:pos="2835"/>
        </w:tabs>
        <w:spacing w:before="120" w:after="120"/>
      </w:pPr>
      <w:r w:rsidRPr="00650764">
        <w:tab/>
      </w:r>
      <w:r w:rsidRPr="00650764">
        <w:tab/>
        <w:t>Standard 2.5</w:t>
      </w:r>
    </w:p>
    <w:p w:rsidR="009E517D" w:rsidRPr="00650764" w:rsidRDefault="009E517D" w:rsidP="00650764">
      <w:pPr>
        <w:pStyle w:val="Heading3"/>
      </w:pPr>
      <w:r w:rsidRPr="00650764">
        <w:t xml:space="preserve">Pravidla a podmínky utváření studijních plánů </w:t>
      </w:r>
    </w:p>
    <w:p w:rsidR="009E517D" w:rsidRPr="00650764" w:rsidRDefault="009E517D" w:rsidP="00650764">
      <w:pPr>
        <w:tabs>
          <w:tab w:val="left" w:pos="2835"/>
        </w:tabs>
        <w:spacing w:before="120" w:after="120"/>
      </w:pPr>
      <w:r w:rsidRPr="00650764">
        <w:tab/>
      </w:r>
      <w:r w:rsidRPr="00650764">
        <w:tab/>
        <w:t>Standard 2.6</w:t>
      </w:r>
    </w:p>
    <w:p w:rsidR="009E517D" w:rsidRPr="00650764" w:rsidRDefault="009E517D" w:rsidP="00650764">
      <w:pPr>
        <w:pStyle w:val="Heading3"/>
      </w:pPr>
      <w:r w:rsidRPr="00650764">
        <w:t xml:space="preserve">Vymezení uplatnění absolventů </w:t>
      </w:r>
    </w:p>
    <w:p w:rsidR="009E517D" w:rsidRPr="00650764" w:rsidRDefault="009E517D" w:rsidP="00650764">
      <w:pPr>
        <w:tabs>
          <w:tab w:val="left" w:pos="2835"/>
        </w:tabs>
        <w:spacing w:before="120" w:after="120"/>
      </w:pPr>
      <w:r w:rsidRPr="00650764">
        <w:tab/>
      </w:r>
      <w:r w:rsidRPr="00650764">
        <w:tab/>
        <w:t>Standard 2.7</w:t>
      </w:r>
    </w:p>
    <w:p w:rsidR="009E517D" w:rsidRPr="00650764" w:rsidRDefault="009E517D" w:rsidP="00650764">
      <w:pPr>
        <w:pStyle w:val="Heading3"/>
      </w:pPr>
      <w:r w:rsidRPr="00650764">
        <w:t xml:space="preserve">Standardní doba studia </w:t>
      </w:r>
    </w:p>
    <w:p w:rsidR="009E517D" w:rsidRPr="00650764" w:rsidRDefault="009E517D" w:rsidP="00650764">
      <w:pPr>
        <w:tabs>
          <w:tab w:val="left" w:pos="2835"/>
        </w:tabs>
        <w:spacing w:before="120" w:after="120"/>
      </w:pPr>
      <w:r w:rsidRPr="00650764">
        <w:tab/>
      </w:r>
      <w:r w:rsidRPr="00650764">
        <w:tab/>
        <w:t>Standard 2.8</w:t>
      </w:r>
    </w:p>
    <w:p w:rsidR="009E517D" w:rsidRPr="00650764" w:rsidRDefault="009E517D" w:rsidP="00650764">
      <w:pPr>
        <w:pStyle w:val="Heading3"/>
      </w:pPr>
      <w:r w:rsidRPr="00650764">
        <w:t xml:space="preserve">Soulad obsahu studia s cíli studia a profilem absolventa </w:t>
      </w:r>
    </w:p>
    <w:p w:rsidR="009E517D" w:rsidRDefault="009E517D" w:rsidP="00650764">
      <w:pPr>
        <w:tabs>
          <w:tab w:val="left" w:pos="2835"/>
        </w:tabs>
        <w:spacing w:before="120" w:after="120"/>
      </w:pPr>
      <w:r w:rsidRPr="00650764">
        <w:tab/>
      </w:r>
      <w:r w:rsidRPr="00650764">
        <w:tab/>
        <w:t>Standard 2.9</w:t>
      </w:r>
    </w:p>
    <w:p w:rsidR="009E517D" w:rsidRDefault="009E517D" w:rsidP="00650764">
      <w:pPr>
        <w:pStyle w:val="Heading3"/>
        <w:rPr>
          <w:sz w:val="22"/>
          <w:szCs w:val="22"/>
        </w:rPr>
      </w:pPr>
      <w:r>
        <w:t xml:space="preserve">Odlišení doktorského studijního programu od ostatních typů studijních programů </w:t>
      </w:r>
      <w:r w:rsidRPr="000B3D78">
        <w:rPr>
          <w:color w:val="FF0000"/>
          <w:sz w:val="22"/>
          <w:szCs w:val="22"/>
        </w:rPr>
        <w:t>(pouze pro doktorské studijní programy)</w:t>
      </w:r>
    </w:p>
    <w:p w:rsidR="009E517D" w:rsidRPr="000855AE" w:rsidRDefault="009E517D" w:rsidP="00650764">
      <w:pPr>
        <w:ind w:left="3540"/>
      </w:pPr>
      <w:r>
        <w:t>Standardy 2.10-2.11</w:t>
      </w:r>
    </w:p>
    <w:p w:rsidR="009E517D" w:rsidRDefault="009E517D" w:rsidP="00155275">
      <w:pPr>
        <w:pStyle w:val="Heading3"/>
      </w:pPr>
      <w:r w:rsidRPr="00035992">
        <w:t xml:space="preserve">Struktura a rozsah studijních předmětů </w:t>
      </w:r>
    </w:p>
    <w:p w:rsidR="009E517D" w:rsidRDefault="009E517D" w:rsidP="00BD69F1">
      <w:pPr>
        <w:spacing w:before="120" w:after="120"/>
      </w:pPr>
      <w:r>
        <w:tab/>
      </w:r>
      <w:r>
        <w:tab/>
      </w:r>
      <w:r>
        <w:tab/>
      </w:r>
      <w:r>
        <w:tab/>
      </w:r>
      <w:r>
        <w:tab/>
        <w:t>Standard 2.12</w:t>
      </w:r>
    </w:p>
    <w:p w:rsidR="009E517D" w:rsidRDefault="009E517D" w:rsidP="00BD69F1">
      <w:pPr>
        <w:pStyle w:val="Heading3"/>
      </w:pPr>
      <w:r>
        <w:t xml:space="preserve">Rozsah povinné odborné praxe </w:t>
      </w:r>
      <w:r w:rsidRPr="00745E75">
        <w:rPr>
          <w:color w:val="FF0000"/>
        </w:rPr>
        <w:t xml:space="preserve">(pouze pro profesně zaměřené studijní programy) </w:t>
      </w:r>
      <w:r>
        <w:t xml:space="preserve">a specifika spolupráce s praxí </w:t>
      </w:r>
      <w:r w:rsidRPr="00745E75">
        <w:rPr>
          <w:color w:val="FF0000"/>
        </w:rPr>
        <w:t>(pouze pro bakalářské profesně zaměřené studijní programy)</w:t>
      </w:r>
    </w:p>
    <w:p w:rsidR="009E517D" w:rsidRPr="00BD69F1" w:rsidRDefault="009E517D" w:rsidP="00650764">
      <w:pPr>
        <w:ind w:left="3540"/>
      </w:pPr>
      <w:r>
        <w:t>Standardy 2.13, 2.15</w:t>
      </w:r>
    </w:p>
    <w:p w:rsidR="009E517D" w:rsidRDefault="009E517D" w:rsidP="00155275">
      <w:pPr>
        <w:pStyle w:val="Heading3"/>
      </w:pPr>
      <w:r w:rsidRPr="00035992">
        <w:t xml:space="preserve">Soulad obsahu studijních předmětů, státních zkoušek a kvalifikačních prací s výsledky učení a profilem absolventa  </w:t>
      </w:r>
    </w:p>
    <w:p w:rsidR="009E517D" w:rsidRDefault="009E517D" w:rsidP="00BD69F1">
      <w:pPr>
        <w:spacing w:before="120" w:after="120"/>
      </w:pPr>
      <w:r>
        <w:tab/>
      </w:r>
      <w:r>
        <w:tab/>
      </w:r>
      <w:r>
        <w:tab/>
      </w:r>
      <w:r>
        <w:tab/>
      </w:r>
      <w:r>
        <w:tab/>
        <w:t>Standard 2.14</w:t>
      </w:r>
    </w:p>
    <w:p w:rsidR="009E517D" w:rsidRPr="008848E6" w:rsidRDefault="009E517D" w:rsidP="00BD69F1">
      <w:pPr>
        <w:pStyle w:val="Heading3"/>
      </w:pPr>
      <w:r w:rsidRPr="008848E6">
        <w:t xml:space="preserve">Podmínky a pravidla rigorózního řízení </w:t>
      </w:r>
      <w:r w:rsidRPr="008848E6">
        <w:rPr>
          <w:color w:val="FF0000"/>
        </w:rPr>
        <w:t>(pouze pro magisterské studijní programy v případě, že vysoká škola žádá o přiznání oprávnění konat rigorózní řízení)</w:t>
      </w:r>
    </w:p>
    <w:p w:rsidR="009E517D" w:rsidRPr="00650764" w:rsidRDefault="009E517D" w:rsidP="00650764">
      <w:pPr>
        <w:ind w:left="3540"/>
      </w:pPr>
      <w:r>
        <w:t>Standardy 2.15-2.16</w:t>
      </w:r>
    </w:p>
    <w:p w:rsidR="009E517D" w:rsidRDefault="009E517D" w:rsidP="00155275">
      <w:pPr>
        <w:pStyle w:val="Heading3"/>
        <w:numPr>
          <w:ilvl w:val="0"/>
          <w:numId w:val="0"/>
        </w:numPr>
        <w:ind w:left="720"/>
      </w:pPr>
    </w:p>
    <w:p w:rsidR="009E517D" w:rsidRDefault="009E517D" w:rsidP="00035992">
      <w:pPr>
        <w:pStyle w:val="Heading2"/>
      </w:pPr>
      <w:r w:rsidRPr="00035992">
        <w:t xml:space="preserve">Vzdělávací </w:t>
      </w:r>
      <w:r>
        <w:t xml:space="preserve">a tvůrčí </w:t>
      </w:r>
      <w:r w:rsidRPr="00035992">
        <w:t>činnost</w:t>
      </w:r>
      <w:r>
        <w:t xml:space="preserve"> ve studijním programu</w:t>
      </w:r>
    </w:p>
    <w:p w:rsidR="009E517D" w:rsidRDefault="009E517D" w:rsidP="00155275">
      <w:pPr>
        <w:pStyle w:val="Heading3"/>
      </w:pPr>
      <w:r w:rsidRPr="00035992">
        <w:t>Metody výuky a hodnocení výsledků studia</w:t>
      </w:r>
    </w:p>
    <w:p w:rsidR="009E517D" w:rsidRPr="00650764" w:rsidRDefault="009E517D" w:rsidP="00650764">
      <w:pPr>
        <w:tabs>
          <w:tab w:val="left" w:pos="2835"/>
        </w:tabs>
        <w:spacing w:before="120" w:after="120"/>
      </w:pPr>
      <w:r>
        <w:tab/>
      </w:r>
      <w:r>
        <w:tab/>
      </w:r>
      <w:r w:rsidRPr="00650764">
        <w:t>Standard</w:t>
      </w:r>
      <w:r>
        <w:t>y</w:t>
      </w:r>
      <w:r w:rsidRPr="00650764">
        <w:t xml:space="preserve"> 3.1-3.4</w:t>
      </w:r>
    </w:p>
    <w:p w:rsidR="009E517D" w:rsidRPr="00650764" w:rsidRDefault="009E517D" w:rsidP="00650764">
      <w:pPr>
        <w:pStyle w:val="Heading3"/>
      </w:pPr>
      <w:r w:rsidRPr="00650764">
        <w:t xml:space="preserve">Tvůrčí činnost vztahující se ke studijnímu programu </w:t>
      </w:r>
      <w:r w:rsidRPr="00745E75">
        <w:rPr>
          <w:color w:val="FF0000"/>
        </w:rPr>
        <w:t>(dle požadavků kladených standardy pro jednotlivé typy a profily studijních programů)</w:t>
      </w:r>
    </w:p>
    <w:p w:rsidR="009E517D" w:rsidRDefault="009E517D" w:rsidP="00650764">
      <w:pPr>
        <w:tabs>
          <w:tab w:val="left" w:pos="2835"/>
        </w:tabs>
        <w:spacing w:before="120" w:after="120"/>
      </w:pPr>
      <w:r w:rsidRPr="00650764">
        <w:tab/>
      </w:r>
      <w:r w:rsidRPr="00650764">
        <w:tab/>
        <w:t>Standard</w:t>
      </w:r>
      <w:r>
        <w:t>y</w:t>
      </w:r>
      <w:r w:rsidRPr="00650764">
        <w:t xml:space="preserve"> 3.5</w:t>
      </w:r>
      <w:r>
        <w:t>-3.7</w:t>
      </w:r>
    </w:p>
    <w:p w:rsidR="009E517D" w:rsidRDefault="009E517D" w:rsidP="00650764">
      <w:pPr>
        <w:spacing w:before="120" w:after="120"/>
        <w:rPr>
          <w:rFonts w:ascii="Times New Roman" w:hAnsi="Times New Roman" w:cs="Times New Roman"/>
          <w:bCs/>
          <w:sz w:val="24"/>
          <w:szCs w:val="24"/>
        </w:rPr>
      </w:pPr>
    </w:p>
    <w:p w:rsidR="009E517D" w:rsidRDefault="009E517D" w:rsidP="00035992">
      <w:pPr>
        <w:pStyle w:val="Heading2"/>
      </w:pPr>
      <w:r w:rsidRPr="00035992">
        <w:t>Finanční, materiální a další zabezpečení studijního programu</w:t>
      </w:r>
    </w:p>
    <w:p w:rsidR="009E517D" w:rsidRPr="00650764" w:rsidRDefault="009E517D" w:rsidP="00155275">
      <w:pPr>
        <w:pStyle w:val="Heading3"/>
      </w:pPr>
      <w:r w:rsidRPr="00035992">
        <w:t xml:space="preserve">Finanční zabezpečení studijního </w:t>
      </w:r>
      <w:r w:rsidRPr="00650764">
        <w:t xml:space="preserve">programu </w:t>
      </w:r>
    </w:p>
    <w:p w:rsidR="009E517D" w:rsidRPr="00650764" w:rsidRDefault="009E517D" w:rsidP="00650764">
      <w:pPr>
        <w:tabs>
          <w:tab w:val="left" w:pos="2835"/>
        </w:tabs>
        <w:spacing w:before="120" w:after="120"/>
      </w:pPr>
      <w:r w:rsidRPr="00650764">
        <w:tab/>
      </w:r>
      <w:r w:rsidRPr="00650764">
        <w:tab/>
        <w:t>Standard 4.1</w:t>
      </w:r>
    </w:p>
    <w:p w:rsidR="009E517D" w:rsidRPr="00650764" w:rsidRDefault="009E517D" w:rsidP="00650764">
      <w:pPr>
        <w:pStyle w:val="Heading3"/>
      </w:pPr>
      <w:r w:rsidRPr="00650764">
        <w:t xml:space="preserve">Materiální a technické zabezpečení studijního programu </w:t>
      </w:r>
    </w:p>
    <w:p w:rsidR="009E517D" w:rsidRPr="00650764" w:rsidRDefault="009E517D" w:rsidP="00650764">
      <w:pPr>
        <w:tabs>
          <w:tab w:val="left" w:pos="2835"/>
        </w:tabs>
        <w:spacing w:before="120" w:after="120"/>
      </w:pPr>
      <w:r w:rsidRPr="00650764">
        <w:tab/>
      </w:r>
      <w:r w:rsidRPr="00650764">
        <w:tab/>
        <w:t>Standard 4.2</w:t>
      </w:r>
    </w:p>
    <w:p w:rsidR="009E517D" w:rsidRPr="00650764" w:rsidRDefault="009E517D" w:rsidP="00650764">
      <w:pPr>
        <w:pStyle w:val="Heading3"/>
      </w:pPr>
      <w:r w:rsidRPr="00650764">
        <w:t xml:space="preserve">Odborná literatura a elektronické databáze odpovídající studijnímu programu </w:t>
      </w:r>
    </w:p>
    <w:p w:rsidR="009E517D" w:rsidRDefault="009E517D" w:rsidP="00650764">
      <w:pPr>
        <w:tabs>
          <w:tab w:val="left" w:pos="2835"/>
        </w:tabs>
        <w:spacing w:before="120" w:after="120"/>
      </w:pPr>
      <w:r w:rsidRPr="00650764">
        <w:tab/>
      </w:r>
      <w:r w:rsidRPr="00650764">
        <w:tab/>
        <w:t>Standard 4.3</w:t>
      </w:r>
    </w:p>
    <w:p w:rsidR="009E517D" w:rsidRDefault="009E517D" w:rsidP="00650764">
      <w:pPr>
        <w:pStyle w:val="Heading3"/>
      </w:pPr>
      <w:r w:rsidRPr="00035992">
        <w:t>Materiální a technické zabezpečení studijního programu uskutečňovaného mimo sídlo vysoké školy</w:t>
      </w:r>
      <w:r>
        <w:t xml:space="preserve"> </w:t>
      </w:r>
      <w:r w:rsidRPr="00745E75">
        <w:rPr>
          <w:color w:val="FF0000"/>
        </w:rPr>
        <w:t>(pouze u studijních programů, které mají být uskutečňovány mimo sídlo vysoké školy)</w:t>
      </w:r>
    </w:p>
    <w:p w:rsidR="009E517D" w:rsidRDefault="009E517D" w:rsidP="00BD69F1">
      <w:pPr>
        <w:spacing w:before="120" w:after="120"/>
      </w:pPr>
      <w:r>
        <w:tab/>
      </w:r>
      <w:r>
        <w:tab/>
      </w:r>
      <w:r>
        <w:tab/>
      </w:r>
      <w:r>
        <w:tab/>
      </w:r>
      <w:r>
        <w:tab/>
        <w:t>Standard 4.4</w:t>
      </w:r>
    </w:p>
    <w:p w:rsidR="009E517D" w:rsidRDefault="009E517D" w:rsidP="00320E00">
      <w:pPr>
        <w:spacing w:after="0"/>
        <w:ind w:left="1134" w:hanging="425"/>
        <w:rPr>
          <w:rFonts w:ascii="Times New Roman" w:hAnsi="Times New Roman" w:cs="Times New Roman"/>
          <w:bCs/>
          <w:sz w:val="24"/>
          <w:szCs w:val="24"/>
        </w:rPr>
      </w:pPr>
    </w:p>
    <w:p w:rsidR="009E517D" w:rsidRDefault="009E517D" w:rsidP="00035992">
      <w:pPr>
        <w:pStyle w:val="Heading2"/>
      </w:pPr>
      <w:r w:rsidRPr="00035992">
        <w:t xml:space="preserve">Garant studijního programu </w:t>
      </w:r>
    </w:p>
    <w:p w:rsidR="009E517D" w:rsidRDefault="009E517D" w:rsidP="00155275">
      <w:pPr>
        <w:pStyle w:val="Heading3"/>
      </w:pPr>
      <w:r w:rsidRPr="00035992">
        <w:t xml:space="preserve">Pravomoci a odpovědnost garanta </w:t>
      </w:r>
    </w:p>
    <w:p w:rsidR="009E517D" w:rsidRDefault="009E517D" w:rsidP="00D26315">
      <w:pPr>
        <w:spacing w:before="120" w:after="120"/>
      </w:pPr>
      <w:r>
        <w:tab/>
      </w:r>
      <w:r>
        <w:tab/>
      </w:r>
      <w:r>
        <w:tab/>
      </w:r>
      <w:r>
        <w:tab/>
      </w:r>
      <w:r>
        <w:tab/>
        <w:t>Standard 5.1</w:t>
      </w:r>
    </w:p>
    <w:p w:rsidR="009E517D" w:rsidRDefault="009E517D" w:rsidP="00155275">
      <w:pPr>
        <w:pStyle w:val="Heading3"/>
      </w:pPr>
      <w:r w:rsidRPr="00035992">
        <w:t xml:space="preserve">Zhodnocení osoby garanta z hlediska naplnění standardů </w:t>
      </w:r>
      <w:r w:rsidRPr="00745E75">
        <w:rPr>
          <w:color w:val="FF0000"/>
        </w:rPr>
        <w:t>(dle požadavků kladených standardy pro jednotlivé typy a profily studijních programů)</w:t>
      </w:r>
    </w:p>
    <w:p w:rsidR="009E517D" w:rsidRDefault="009E517D" w:rsidP="00D26315">
      <w:pPr>
        <w:spacing w:before="120" w:after="120"/>
      </w:pPr>
      <w:r>
        <w:tab/>
      </w:r>
      <w:r>
        <w:tab/>
      </w:r>
      <w:r>
        <w:tab/>
      </w:r>
      <w:r>
        <w:tab/>
      </w:r>
      <w:r>
        <w:tab/>
        <w:t>Standardy 5.2-5.4</w:t>
      </w:r>
    </w:p>
    <w:p w:rsidR="009E517D" w:rsidRDefault="009E517D" w:rsidP="00320E00">
      <w:pPr>
        <w:spacing w:after="0"/>
        <w:rPr>
          <w:rFonts w:ascii="Times New Roman" w:hAnsi="Times New Roman" w:cs="Times New Roman"/>
          <w:bCs/>
          <w:sz w:val="24"/>
          <w:szCs w:val="24"/>
        </w:rPr>
      </w:pPr>
    </w:p>
    <w:p w:rsidR="009E517D" w:rsidRDefault="009E517D" w:rsidP="00035992">
      <w:pPr>
        <w:pStyle w:val="Heading2"/>
      </w:pPr>
      <w:r w:rsidRPr="00035992">
        <w:t>Personální zabezpečení studijního programu</w:t>
      </w:r>
    </w:p>
    <w:p w:rsidR="009E517D" w:rsidRDefault="009E517D" w:rsidP="00155275">
      <w:pPr>
        <w:pStyle w:val="Heading3"/>
      </w:pPr>
      <w:r w:rsidRPr="00035992">
        <w:t xml:space="preserve">Zhodnocení celkového personálního zabezpečení studijního programu z hlediska naplnění standardů </w:t>
      </w:r>
      <w:r w:rsidRPr="00745E75">
        <w:rPr>
          <w:color w:val="FF0000"/>
        </w:rPr>
        <w:t>(včetně zhodnocení zapojení odborníků z praxe do výuky u bakalářských profesně zaměřených studijních programů)</w:t>
      </w:r>
    </w:p>
    <w:p w:rsidR="009E517D" w:rsidRDefault="009E517D" w:rsidP="00D26315">
      <w:pPr>
        <w:spacing w:before="120" w:after="120"/>
      </w:pPr>
      <w:r>
        <w:tab/>
      </w:r>
      <w:r>
        <w:tab/>
      </w:r>
      <w:r>
        <w:tab/>
      </w:r>
      <w:r>
        <w:tab/>
      </w:r>
      <w:r>
        <w:tab/>
        <w:t>Standardy 6.1-6.2, 6.7-6.8</w:t>
      </w:r>
    </w:p>
    <w:p w:rsidR="009E517D" w:rsidRDefault="009E517D" w:rsidP="00155275">
      <w:pPr>
        <w:pStyle w:val="Heading3"/>
      </w:pPr>
      <w:r w:rsidRPr="00035992">
        <w:t xml:space="preserve">Personální zabezpečení studijního programu uskutečňovaného mimo sídlo vysoké školy </w:t>
      </w:r>
      <w:r w:rsidRPr="00745E75">
        <w:rPr>
          <w:color w:val="FF0000"/>
        </w:rPr>
        <w:t>(pouze u studijních programů, které mají být uskutečňovány mimo sídlo vysoké školy)</w:t>
      </w:r>
    </w:p>
    <w:p w:rsidR="009E517D" w:rsidRDefault="009E517D" w:rsidP="00C80B17">
      <w:pPr>
        <w:spacing w:before="120" w:after="120"/>
      </w:pPr>
      <w:r>
        <w:tab/>
      </w:r>
      <w:r>
        <w:tab/>
      </w:r>
      <w:r>
        <w:tab/>
      </w:r>
      <w:r>
        <w:tab/>
      </w:r>
      <w:r>
        <w:tab/>
        <w:t>Standard 6.3</w:t>
      </w:r>
    </w:p>
    <w:p w:rsidR="009E517D" w:rsidRDefault="009E517D" w:rsidP="00155275">
      <w:pPr>
        <w:pStyle w:val="Heading3"/>
      </w:pPr>
      <w:r w:rsidRPr="00035992">
        <w:t xml:space="preserve">Personální zabezpečení předmětů profilujícího základu </w:t>
      </w:r>
    </w:p>
    <w:p w:rsidR="009E517D" w:rsidRDefault="009E517D" w:rsidP="00493DAD">
      <w:pPr>
        <w:tabs>
          <w:tab w:val="left" w:pos="2835"/>
        </w:tabs>
        <w:spacing w:before="120" w:after="120"/>
      </w:pPr>
      <w:r>
        <w:tab/>
      </w:r>
      <w:r>
        <w:tab/>
      </w:r>
      <w:r w:rsidRPr="00C80B17">
        <w:t>Standard</w:t>
      </w:r>
      <w:r>
        <w:t>y</w:t>
      </w:r>
      <w:r w:rsidRPr="00C80B17">
        <w:t xml:space="preserve"> 6.4, 6.9-6.10</w:t>
      </w:r>
    </w:p>
    <w:p w:rsidR="009E517D" w:rsidRDefault="009E517D" w:rsidP="00155275">
      <w:pPr>
        <w:pStyle w:val="Heading3"/>
      </w:pPr>
      <w:r w:rsidRPr="00035992">
        <w:t xml:space="preserve">Kvalifikace odborníků z praxe zapojených do výuky ve studijním programu </w:t>
      </w:r>
    </w:p>
    <w:p w:rsidR="009E517D" w:rsidRDefault="009E517D" w:rsidP="00493DAD">
      <w:pPr>
        <w:tabs>
          <w:tab w:val="left" w:pos="2835"/>
        </w:tabs>
        <w:spacing w:before="120" w:after="120"/>
      </w:pPr>
      <w:r>
        <w:tab/>
      </w:r>
      <w:r>
        <w:tab/>
      </w:r>
      <w:r w:rsidRPr="00C80B17">
        <w:t>Standard</w:t>
      </w:r>
      <w:r>
        <w:t>y</w:t>
      </w:r>
      <w:r w:rsidRPr="00C80B17">
        <w:t xml:space="preserve"> 6.5-6.6</w:t>
      </w:r>
    </w:p>
    <w:p w:rsidR="009E517D" w:rsidRDefault="009E517D" w:rsidP="00C80B17">
      <w:pPr>
        <w:pStyle w:val="Heading3"/>
      </w:pPr>
      <w:r>
        <w:t xml:space="preserve">Školitelé studentů doktorského studia </w:t>
      </w:r>
      <w:r w:rsidRPr="00745E75">
        <w:rPr>
          <w:color w:val="FF0000"/>
        </w:rPr>
        <w:t>(pouze pro doktorské studijní programy)</w:t>
      </w:r>
    </w:p>
    <w:p w:rsidR="009E517D" w:rsidRPr="00C80B17" w:rsidRDefault="009E517D" w:rsidP="00C80B17">
      <w:pPr>
        <w:ind w:left="3540"/>
      </w:pPr>
      <w:r>
        <w:t>Standard 6.11</w:t>
      </w:r>
    </w:p>
    <w:p w:rsidR="009E517D" w:rsidRDefault="009E517D" w:rsidP="00320E00">
      <w:pPr>
        <w:spacing w:after="0"/>
        <w:ind w:left="360"/>
        <w:rPr>
          <w:rFonts w:ascii="Times New Roman" w:hAnsi="Times New Roman" w:cs="Times New Roman"/>
          <w:bCs/>
          <w:sz w:val="24"/>
          <w:szCs w:val="24"/>
        </w:rPr>
      </w:pPr>
    </w:p>
    <w:p w:rsidR="009E517D" w:rsidRDefault="009E517D" w:rsidP="00035992">
      <w:pPr>
        <w:pStyle w:val="Heading2"/>
      </w:pPr>
      <w:r w:rsidRPr="00035992">
        <w:t>Specifické požadavky na zajištění studijního programu</w:t>
      </w:r>
    </w:p>
    <w:p w:rsidR="009E517D" w:rsidRDefault="009E517D" w:rsidP="00155275">
      <w:pPr>
        <w:pStyle w:val="Heading3"/>
      </w:pPr>
      <w:r w:rsidRPr="00035992">
        <w:t xml:space="preserve">Uskutečňování studijního programu v kombinované a distanční formě studia </w:t>
      </w:r>
      <w:r w:rsidRPr="00745E75">
        <w:rPr>
          <w:color w:val="FF0000"/>
        </w:rPr>
        <w:t>(pouze v případě, že vysoká škola o akreditaci studijního programu v kombinované nebo distanční formě studia)</w:t>
      </w:r>
    </w:p>
    <w:p w:rsidR="009E517D" w:rsidRDefault="009E517D" w:rsidP="00493DAD">
      <w:pPr>
        <w:tabs>
          <w:tab w:val="left" w:pos="2835"/>
        </w:tabs>
        <w:spacing w:before="120" w:after="120"/>
      </w:pPr>
      <w:r>
        <w:tab/>
      </w:r>
      <w:r>
        <w:tab/>
      </w:r>
      <w:r w:rsidRPr="00C80B17">
        <w:t>Standard</w:t>
      </w:r>
      <w:r>
        <w:t>y</w:t>
      </w:r>
      <w:r w:rsidRPr="00C80B17">
        <w:t xml:space="preserve"> 7.1-7.3</w:t>
      </w:r>
    </w:p>
    <w:p w:rsidR="009E517D" w:rsidRDefault="009E517D" w:rsidP="00C80B17">
      <w:pPr>
        <w:pStyle w:val="Heading3"/>
      </w:pPr>
      <w:r w:rsidRPr="00035992">
        <w:t xml:space="preserve">Uskutečňování studijního programu v cizím jazyce </w:t>
      </w:r>
      <w:r w:rsidRPr="00745E75">
        <w:rPr>
          <w:color w:val="FF0000"/>
        </w:rPr>
        <w:t>(pouze v případě, že vysoká škola o akreditaci studijního programu v cizím jazyce)</w:t>
      </w:r>
    </w:p>
    <w:p w:rsidR="009E517D" w:rsidRDefault="009E517D" w:rsidP="008848E6">
      <w:pPr>
        <w:tabs>
          <w:tab w:val="left" w:pos="2835"/>
        </w:tabs>
        <w:spacing w:before="120" w:after="120"/>
      </w:pPr>
      <w:r>
        <w:tab/>
      </w:r>
      <w:r>
        <w:tab/>
      </w:r>
      <w:r w:rsidRPr="00C80B17">
        <w:t>Standard</w:t>
      </w:r>
      <w:r>
        <w:t>y</w:t>
      </w:r>
      <w:r w:rsidRPr="00C80B17">
        <w:t xml:space="preserve"> </w:t>
      </w:r>
      <w:r>
        <w:t>7.4-7.9</w:t>
      </w:r>
    </w:p>
    <w:p w:rsidR="009E517D" w:rsidRDefault="009E517D" w:rsidP="00B25E8D">
      <w:pPr>
        <w:pStyle w:val="Heading3"/>
        <w:numPr>
          <w:ilvl w:val="0"/>
          <w:numId w:val="25"/>
        </w:numPr>
        <w:tabs>
          <w:tab w:val="left" w:pos="2835"/>
        </w:tabs>
        <w:spacing w:before="120" w:after="120"/>
      </w:pPr>
      <w:r w:rsidRPr="000B3D78">
        <w:t xml:space="preserve">Uskutečňování studijního programu ve spolupráci se zahraniční vysokou školou </w:t>
      </w:r>
      <w:r w:rsidRPr="000B3D78">
        <w:rPr>
          <w:color w:val="FF0000"/>
        </w:rPr>
        <w:t>(pouze v případě, že vysoká škola o akreditaci studijního programu ve spolupráci se zahraniční vysokou školou podle § 47a zákona o vysokých školách)</w:t>
      </w:r>
      <w:r>
        <w:rPr>
          <w:color w:val="FF0000"/>
        </w:rPr>
        <w:br/>
      </w:r>
      <w:r>
        <w:rPr>
          <w:color w:val="FF0000"/>
        </w:rPr>
        <w:tab/>
      </w:r>
      <w:r>
        <w:tab/>
      </w:r>
      <w:r w:rsidRPr="00C80B17">
        <w:t xml:space="preserve">Standard </w:t>
      </w:r>
      <w:r>
        <w:t>7.10</w:t>
      </w:r>
    </w:p>
    <w:p w:rsidR="009E517D" w:rsidRDefault="009E517D" w:rsidP="00C80B17">
      <w:pPr>
        <w:pStyle w:val="Heading3"/>
      </w:pPr>
      <w:r w:rsidRPr="00035992">
        <w:t xml:space="preserve">Uskutečňování studijního programu ve spolupráci s další právnickou osobou </w:t>
      </w:r>
      <w:r w:rsidRPr="00745E75">
        <w:rPr>
          <w:color w:val="FF0000"/>
        </w:rPr>
        <w:t>(pouze v případě, že vysoká škola o akreditaci studijního programu ve spolupráci s další právnickou osobou podle § 81 zákona o vysokých školách)</w:t>
      </w:r>
    </w:p>
    <w:p w:rsidR="009E517D" w:rsidRDefault="009E517D" w:rsidP="00493DAD">
      <w:pPr>
        <w:tabs>
          <w:tab w:val="left" w:pos="2835"/>
        </w:tabs>
        <w:spacing w:before="120" w:after="120"/>
      </w:pPr>
      <w:r>
        <w:tab/>
      </w:r>
      <w:r>
        <w:tab/>
      </w:r>
      <w:r w:rsidRPr="00C80B17">
        <w:t xml:space="preserve">Standard </w:t>
      </w:r>
      <w:r>
        <w:t>7.11</w:t>
      </w:r>
    </w:p>
    <w:p w:rsidR="009E517D" w:rsidRDefault="009E517D">
      <w:r>
        <w:br w:type="page"/>
      </w:r>
    </w:p>
    <w:p w:rsidR="009E517D" w:rsidRPr="000B3D78" w:rsidRDefault="009E517D" w:rsidP="000B3D78">
      <w:pPr>
        <w:tabs>
          <w:tab w:val="left" w:pos="2835"/>
        </w:tabs>
        <w:spacing w:before="120" w:after="120"/>
        <w:jc w:val="center"/>
        <w:rPr>
          <w:sz w:val="32"/>
          <w:szCs w:val="32"/>
        </w:rPr>
      </w:pPr>
      <w:r w:rsidRPr="000B3D78">
        <w:rPr>
          <w:sz w:val="32"/>
          <w:szCs w:val="32"/>
        </w:rPr>
        <w:t>Příloha</w:t>
      </w:r>
    </w:p>
    <w:tbl>
      <w:tblPr>
        <w:tblW w:w="1054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723"/>
        <w:gridCol w:w="8116"/>
        <w:gridCol w:w="341"/>
        <w:gridCol w:w="341"/>
        <w:gridCol w:w="341"/>
        <w:gridCol w:w="341"/>
        <w:gridCol w:w="341"/>
      </w:tblGrid>
      <w:tr w:rsidR="009E517D" w:rsidRPr="00C355A6" w:rsidTr="00C355A6">
        <w:trPr>
          <w:cantSplit/>
          <w:trHeight w:val="2110"/>
        </w:trPr>
        <w:tc>
          <w:tcPr>
            <w:tcW w:w="723" w:type="dxa"/>
            <w:textDirection w:val="tbRl"/>
            <w:vAlign w:val="center"/>
          </w:tcPr>
          <w:p w:rsidR="009E517D" w:rsidRPr="00C355A6" w:rsidRDefault="009E517D" w:rsidP="00C355A6">
            <w:pPr>
              <w:spacing w:after="0" w:line="240" w:lineRule="auto"/>
              <w:ind w:left="113" w:right="113"/>
              <w:jc w:val="center"/>
              <w:rPr>
                <w:rFonts w:ascii="Times New Roman" w:hAnsi="Times New Roman" w:cs="Times New Roman"/>
                <w:sz w:val="28"/>
                <w:szCs w:val="28"/>
              </w:rPr>
            </w:pPr>
            <w:r w:rsidRPr="00C355A6">
              <w:rPr>
                <w:rFonts w:ascii="Times New Roman" w:hAnsi="Times New Roman" w:cs="Times New Roman"/>
                <w:sz w:val="28"/>
                <w:szCs w:val="28"/>
              </w:rPr>
              <w:t>Číslo standardu</w:t>
            </w:r>
          </w:p>
        </w:tc>
        <w:tc>
          <w:tcPr>
            <w:tcW w:w="8116" w:type="dxa"/>
            <w:vAlign w:val="center"/>
          </w:tcPr>
          <w:p w:rsidR="009E517D" w:rsidRPr="00C355A6" w:rsidRDefault="009E517D" w:rsidP="00C355A6">
            <w:pPr>
              <w:spacing w:after="0" w:line="240" w:lineRule="auto"/>
              <w:jc w:val="center"/>
              <w:rPr>
                <w:rFonts w:ascii="Times New Roman" w:hAnsi="Times New Roman" w:cs="Times New Roman"/>
                <w:sz w:val="28"/>
                <w:szCs w:val="28"/>
              </w:rPr>
            </w:pPr>
            <w:r w:rsidRPr="00C355A6">
              <w:rPr>
                <w:rFonts w:ascii="Times New Roman" w:hAnsi="Times New Roman" w:cs="Times New Roman"/>
                <w:sz w:val="28"/>
                <w:szCs w:val="28"/>
              </w:rPr>
              <w:t>Standard</w:t>
            </w:r>
          </w:p>
        </w:tc>
        <w:tc>
          <w:tcPr>
            <w:tcW w:w="341" w:type="dxa"/>
            <w:shd w:val="clear" w:color="auto" w:fill="FFE599"/>
            <w:textDirection w:val="tbRl"/>
            <w:vAlign w:val="center"/>
          </w:tcPr>
          <w:p w:rsidR="009E517D" w:rsidRPr="00C355A6" w:rsidRDefault="009E517D" w:rsidP="00C355A6">
            <w:pPr>
              <w:spacing w:after="0" w:line="240" w:lineRule="auto"/>
              <w:ind w:left="113" w:right="113"/>
              <w:rPr>
                <w:rFonts w:ascii="Times New Roman" w:hAnsi="Times New Roman" w:cs="Times New Roman"/>
              </w:rPr>
            </w:pPr>
            <w:r w:rsidRPr="00C355A6">
              <w:rPr>
                <w:rFonts w:ascii="Times New Roman" w:hAnsi="Times New Roman" w:cs="Times New Roman"/>
              </w:rPr>
              <w:t>Bc. akademický SP</w:t>
            </w:r>
          </w:p>
        </w:tc>
        <w:tc>
          <w:tcPr>
            <w:tcW w:w="341" w:type="dxa"/>
            <w:textDirection w:val="tbRl"/>
            <w:vAlign w:val="center"/>
          </w:tcPr>
          <w:p w:rsidR="009E517D" w:rsidRPr="00C355A6" w:rsidRDefault="009E517D" w:rsidP="00C355A6">
            <w:pPr>
              <w:spacing w:after="0" w:line="240" w:lineRule="auto"/>
              <w:ind w:left="113" w:right="113"/>
              <w:rPr>
                <w:rFonts w:ascii="Times New Roman" w:hAnsi="Times New Roman" w:cs="Times New Roman"/>
              </w:rPr>
            </w:pPr>
            <w:r w:rsidRPr="00C355A6">
              <w:rPr>
                <w:rFonts w:ascii="Times New Roman" w:hAnsi="Times New Roman" w:cs="Times New Roman"/>
              </w:rPr>
              <w:t>Bc. profesní SP</w:t>
            </w:r>
          </w:p>
        </w:tc>
        <w:tc>
          <w:tcPr>
            <w:tcW w:w="341" w:type="dxa"/>
            <w:shd w:val="clear" w:color="auto" w:fill="B4C6E7"/>
            <w:textDirection w:val="tbRl"/>
            <w:vAlign w:val="center"/>
          </w:tcPr>
          <w:p w:rsidR="009E517D" w:rsidRPr="00C355A6" w:rsidRDefault="009E517D" w:rsidP="00C355A6">
            <w:pPr>
              <w:spacing w:after="0" w:line="240" w:lineRule="auto"/>
              <w:ind w:left="113" w:right="113"/>
              <w:rPr>
                <w:rFonts w:ascii="Times New Roman" w:hAnsi="Times New Roman" w:cs="Times New Roman"/>
              </w:rPr>
            </w:pPr>
            <w:r w:rsidRPr="00C355A6">
              <w:rPr>
                <w:rFonts w:ascii="Times New Roman" w:hAnsi="Times New Roman" w:cs="Times New Roman"/>
              </w:rPr>
              <w:t>Mgr. akademický SP</w:t>
            </w:r>
          </w:p>
        </w:tc>
        <w:tc>
          <w:tcPr>
            <w:tcW w:w="341" w:type="dxa"/>
            <w:textDirection w:val="tbRl"/>
            <w:vAlign w:val="center"/>
          </w:tcPr>
          <w:p w:rsidR="009E517D" w:rsidRPr="00C355A6" w:rsidRDefault="009E517D" w:rsidP="00C355A6">
            <w:pPr>
              <w:spacing w:after="0" w:line="240" w:lineRule="auto"/>
              <w:ind w:left="113" w:right="113"/>
              <w:rPr>
                <w:rFonts w:ascii="Times New Roman" w:hAnsi="Times New Roman" w:cs="Times New Roman"/>
              </w:rPr>
            </w:pPr>
            <w:r w:rsidRPr="00C355A6">
              <w:rPr>
                <w:rFonts w:ascii="Times New Roman" w:hAnsi="Times New Roman" w:cs="Times New Roman"/>
              </w:rPr>
              <w:t>Mgr. profesní SP</w:t>
            </w:r>
          </w:p>
        </w:tc>
        <w:tc>
          <w:tcPr>
            <w:tcW w:w="341" w:type="dxa"/>
            <w:shd w:val="clear" w:color="auto" w:fill="C5E0B3"/>
            <w:textDirection w:val="tbRl"/>
            <w:vAlign w:val="center"/>
          </w:tcPr>
          <w:p w:rsidR="009E517D" w:rsidRPr="00C355A6" w:rsidRDefault="009E517D" w:rsidP="00C355A6">
            <w:pPr>
              <w:spacing w:after="0" w:line="240" w:lineRule="auto"/>
              <w:ind w:left="113" w:right="113"/>
              <w:rPr>
                <w:rFonts w:ascii="Times New Roman" w:hAnsi="Times New Roman" w:cs="Times New Roman"/>
              </w:rPr>
            </w:pPr>
            <w:r w:rsidRPr="00C355A6">
              <w:rPr>
                <w:rFonts w:ascii="Times New Roman" w:hAnsi="Times New Roman" w:cs="Times New Roman"/>
              </w:rPr>
              <w:t>Doktorský SP</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1.0</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 xml:space="preserve">Zpráva o vnitřním hodnocení a poslední dodatek k této zprávě již byly posouzeny a od posledního posouzení obecných požadavků pro akreditace neuplynulo více než 12 měsíců. Činností vysoké školy ve vztahu k části standardů pro akreditaci studijního programu podle § 78a odst. 2 písm. b) body </w:t>
            </w:r>
            <w:smartTag w:uri="urn:schemas-microsoft-com:office:smarttags" w:element="metricconverter">
              <w:smartTagPr>
                <w:attr w:name="ProductID" w:val="2 a"/>
              </w:smartTagPr>
              <w:r w:rsidRPr="00C355A6">
                <w:rPr>
                  <w:rFonts w:ascii="Times New Roman" w:hAnsi="Times New Roman" w:cs="Times New Roman"/>
                </w:rPr>
                <w:t>2 a</w:t>
              </w:r>
            </w:smartTag>
            <w:r w:rsidRPr="00C355A6">
              <w:rPr>
                <w:rFonts w:ascii="Times New Roman" w:hAnsi="Times New Roman" w:cs="Times New Roman"/>
              </w:rPr>
              <w:t xml:space="preserve"> 3</w:t>
            </w:r>
            <w:r>
              <w:rPr>
                <w:rFonts w:ascii="Times New Roman" w:hAnsi="Times New Roman" w:cs="Times New Roman"/>
              </w:rPr>
              <w:t xml:space="preserve"> zákona o vysokých školách </w:t>
            </w:r>
            <w:r w:rsidRPr="00C355A6">
              <w:rPr>
                <w:rFonts w:ascii="Times New Roman" w:hAnsi="Times New Roman" w:cs="Times New Roman"/>
              </w:rPr>
              <w:t>a funkčností systému zajišťování kvality a vnitřního hodnocení kvality vzdělávací, tvůrčí a s nimi souvisejících činností se tak hodnoticí komise v souladu s čl. 33 Statutu NAÚ nebude zabývat.</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1.1</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má vymezen orgán vysoké školy, který plní působnost statutárního orgánu, a jsou vymezeny další orgány, jejich působnost, pravomoc a odpovědnost.</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1.2</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má vymezeny působnosti, pravomoci a odpovědnosti orgánů jejích součástí k činnostem a jednáním, která se týkají tvorby a uskutečňování studijních programů a které tvoří funkční celek.</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1.3</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Na všech úrovních řízení vysoké školy jsou vymezeny pravomoci a odpovědnost za kvalitu vzdělávací činnosti, tvůrčí činnosti a s nimi souvisejících činností tak, aby tvořily funkční celek.</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1.4</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Vnitřním předpisem vysoké školy jsou podrobněji vymezeny procesy vzniku, schvalování a změn návrhů studijních programů před jejich předložením k akreditaci Národnímu akreditačnímu úřadu pro vysoké školství.</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1.5</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Pokud vysoká škola hodlá posuzovat splnění podmínek pro přijetí ke studiu ve studijním programu s použitím ustanovení § 48 odst. 4 písm. d) nebo § 48 odst. 5 písm. c) zákona o vysokých školách, jsou vytvořena pravidla, stanoveny principy a popsán proces posuzování splnění podmínky předchozího vzdělání.</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1.6</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má přijata dostatečně účinná opatření zajišťující úroveň kvality kvalifikačních prací a systematicky dbá na kvalitu obhájených kvalifikačních prací a obhájených rigorózních prací. V rámci svých pravidel stanoví požadavky na způsob vedení těchto prací a kvalifikační požadavky na osoby, které vedou kvalifikační práce nebo rigorózní práce, a stanoví nejvyšší počet kvalifikačních prací nebo rigorózních prací, které může vést jedna osoba.</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1.7</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Zajištění a hodnocení kvality vzdělávací, tvůrčí a s nimi souvisejících činností se opírá o procesy zpětné vazby, zejména ankety a kvantitativní a kvalitativní průzkumy, přičemž do těchto procesů jsou v reprezentativní míře zapojeni akademičtí pracovníci, studenti, věcně příslušné profesní komory, oborová sdružení nebo organizace zaměstnavatelů nebo další odborníci z praxe, s přihlédnutím k typům a případným profilům studijních programů.</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1.8</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má v oblasti vzdělávací a tvůrčí činnosti nastaveny ukazatele, jejichž prostřednictvím sleduje míru úspěšnosti v přijímacím řízení, studijní neúspěšnost ve studijním programu, míru řádného ukončení studia studijního programu a uplatnitelnost absolventů.</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1.9</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 xml:space="preserve">Vzdělávací a tvůrčí činnosti vysoké školy vycházejí ze soudobých poznatků v širším kontextu a mají mezinárodní charakter s přihlédnutím k typu a případnému profilu studijních programů, zejména: jsou uskutečňovány zahraniční mobility studentů a akademických pracovníků a jsou nabízeny studijní předměty vyučované v cizích jazycích nebo studijní programy uskutečňované v cizích jazycích. </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1.10</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rozvíjí spolupráci s praxí s přihlédnutím k typům a případným profilům studijních programů. Jde zejména o praktickou výuku, zadávání bakalářských, diplomových nebo disertačních prací (dále jen „kvalifikační práce“), zadávání rigorózních prací, přiznávání stipendií a zapojování odborníků z praxe do vzdělávacího procesu.</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1.11</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komunikuje s profesními komorami, oborovými sdruženími, organizacemi zaměstnavatelů nebo dalšími odborníky z praxe a zjišťuje jejich očekávání a požadavky na absolventy studijních programů.</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1.12</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má vybudován funkční informační systém a komunikační prostředky, které zajišťují přístup k přesným a srozumitelným informacím o studijních programech, pravidlech studia a požadavcích spojených se studiem, k informačním a poradenským službám souvisejícím se studiem a s možností uplatnění absolventů studijních programů v praxi.</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1.13</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Služby knihoven a elektronické zdroje pro výuku jsou s přihlédnutím k typu a případnému profilu studijního programu dostatečné a dostupné studentům a akademickým pracovníkům.</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1.14</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zajišťuje dostupné služby, stipendia a další podpůrná opatření pro vyrovnání příležitostí studovat na vysoké škole pro studenty se specifickými potřebami. Vysoká škola v oblasti vyrovnávání podmínek studia studentů se specifickými potřebami vychází z obecně závazných právních předpisů, dále zajišťuje poučený a lidskou důstojnost respektující přístup všech svých zaměstnanců ke studentům a uchazečům se specifickými potřebami a zajišťuje, aby poskytované služby a úpravy realizované s cílem dosáhnout přístupnosti akademického života pro studenty se specifickými potřebami nevedly ke snižování studijních nároků.</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1.15</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přijala dostatečně účinná opatření: k ochraně duševního vlastnictví a proti úmyslnému jednání proti dobrým mravům při studiu zejména proti plagiátorství a podvodům při studiu.</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2.1</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Studijní program je z hlediska typu, formy a případného profilu v souladu s posláním a strategickým záměrem vysoké školy a ostatními strategickými dokumenty vysoké školy.</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2.2a</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U studijního programu vysoká škola prokazuje souvislost a propojení s tvůrčí činností vysoké školy.</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2.2p</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U studijního programu vysoká škola prokazuje spolupráci v daném studijním programu s praxí.</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2.2d</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U studijního programu vysoká škola prokazuje souvislost a propojení s vědeckou nebo uměleckou činností vysoké školy.</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2.3</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Vysokou školou je zohledněn mezinárodní rozměr studijního programu, s přihlédnutím k typu a případnému profilu studijního programu.</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2.4</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Odborné znalosti, odborné dovednosti a obecné způsobilosti, které si absolventi studijního programu osvojují, jsou v souladu s daným typem a případným profilem studijního programu.</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2.5</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Studijní program je koncipován tak, aby student v průběhu studia při plnění studijních povinností prokázal schopnost používat získané odborné znalosti, odborné dovednosti a obecné způsobilosti alespoň v jednom cizím jazyce.</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2.6a</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má nastavena funkční pravidla a podmínky pro vytváření studijních plánů, včetně vymezení případné praktické výuky realizované případně i u jiné fyzické nebo právnické osoby a délky této praktické výuky, přičemž studijní plán je sestaven tak, aby umožňoval studentům zejména získání teoretických znalostí potřebných pro výkon povolání včetně uplatnění v tvůrčí činnosti a dále osvojení nezbytných praktických dovedností.</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2.6p</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má nastavena funkční pravidla a podmínky pro vytváření studijních plánů, včetně vymezení praktické výuky realizované případně i u jiné fyzické nebo právnické osoby a délky této praktické výuky, přičemž studijní plán je sestaven tak, aby umožňoval studentům zejména zvládnutí praktických dovedností potřebných k výkonu povolání podložené získáním nezbytných teoretických znalostí.</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2.6d</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má nastavena funkční pravidla a podmínky pro vytváření individuálních studijních plánů, přičemž studijní plán studijního programu je sestaven tak, aby umožňoval studentům získání znalostí a dovedností potřebných pro vědeckou nebo uměleckou činnost.</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2.7</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Studijní program má vymezeno rámcové uplatnění absolventů studijního programu a typické pracovní pozice, které může absolvent zastávat.</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2.8</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Standardní doba studia odpovídá průměrné studijní zátěži, obsahu a cílům studia a profilu absolventa studijního programu.</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2.9b</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Obsah studia odpovídá cílům studia, umožňuje dosažení stanoveného profilu absolventa a vychází z aplikace soudobých poznatků a metod tvůrčí činnosti v dané oblasti vzdělávání. Přitom součástí obsahu studia jsou základní teoretické disciplíny.</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2.9m</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Obsah studia odpovídá cílům studia a umožňuje dosažení stanoveného profilu absolventa a vychází ze soudobého stavu vědeckého poznání a tvůrčí činnosti v dané oblasti vzdělávání.</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2.9d</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Obsah studia odpovídá cílům studia, umožňuje dosažení stanoveného profilu absolventa a vychází ze soudobého stavu vědeckého poznání nebo umělecké tvorby v dané oblasti vzdělávání.</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2.10</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Povinné odborné studijní předměty nejsou obsahově shodné s povinnými studijními předměty bakalářského nebo magisterského studijního programu.</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2.11</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Součástí studijních povinností je absolvování části studia na zahraniční instituci v délce nejméně jednoho měsíce nebo účast na mezinárodním tvůrčím projektu s výsledky publikovanými nebo prezentovanými v zahraničí nebo jiná forma přímé účasti studenta na mezinárodní spolupráci.</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2.12</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Studijní program má nastavenu a zdůvodněnu strukturu studijních předmětů, jejich rozsah a charakteristiku.</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2.13bp</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Studijní plán je koncipován tak, aby obsahoval praxi studentů v rozsahu alespoň 12 týdnů.</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2.13mp</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Studijní plán je koncipován tak, aby obsahoval praktickou výuku studentů v rozsahu alespoň 6 týdnů (pro studium navazující na bakalářský studijní program) nebo 18 týdnů (pro studium nenavazující na bakalářský studijní program).</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2.14</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Obsah vyučovaných studijních předmětů, metody výuky, zajištění praktické výuky, způsob hodnocení, obsah státních zkoušek, témata a zaměření kvalifikačních prací jsou v souladu s plánovanými výsledky učení a profilem absolventa v daném studijním programu a vytvářejí logický celek.</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2.15bp</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Obsah profesně zaměřeného bakalářského studijního programu zohledňuje specifika spojená s potřebou spolupráce s praxí.</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2.15m</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Obsah státní rigorózní zkoušky a témata rigorózních prací souvisejí s magisterským studijním programem, který vysoká škola uskutečňuje, nebo o jehož akreditaci žádá, nebo s doktorským studijním programem téhož, blízkého nebo příbuzného obsahového zaměření s příslušným magisterským studijním programem, který vysoká škola uskutečňuje, a vycházejí ze soudobého stavu vědeckého poznání a tvůrčí činnosti v daném oboru.</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2.16</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má zveřejněna pravidla vymezující požadavky na státní rigorózní zkoušky a na rigorózní práce a upravující organizační postupy při přípravě na státní rigorózní zkoušky a na obhajoby rigorózních prací.</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2.17</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Pokud je nebo má být studijní program uskutečňován vysokou školou ve spolupráci s pracovišti Akademie věd České republiky (AV ČR) či jinými pracovišti, je zabezpečení studijního programu doloženo dohodou s pracovišti, které se budou na uskutečňování studijního programu podílet.</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3.1</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Při uskutečňování studijního programu se využívají moderní výukové metody odpovídající výsledkům učení studijního programu a přístupy podporující aktivní roli studentů v procesu výuky.</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3.2</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Poměr přímé výuky a samostudia odpovídá studijnímu programu, formě studia, případnému profilu studijního programu a metodám výuky.</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3.3</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Skladba studijní literatury a skladba studijních opor, které jsou uvedeny v požadavcích studijních předmětů profilujícího základu, odráží aktuální stav poznání. Studentům je zajištěna jejich dostupnost.</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3.4</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má zveřejněna kritéria, která odpovídají cílům studia a umožňují objektivní hodnocení a podle kterých jsou studenti hodnoceni.</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3.5bp</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uskutečňuje tvůrčí činnost, která odpovídá oblasti nebo oblastem vzdělávání, v rámci které nebo v rámci kterých má být studijní program příslušného typu uskutečňován, a hodnotí její výstupy s ohledem na profil studijního programu.</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3.5ba</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uskutečňuje vědeckou nebo uměleckou činnost, která odpovídá oblasti nebo oblastem vzdělávání, v rámci které nebo v rámci kterých má být bakalářský studijní program uskutečňována, a hodnotí její výstupy s ohledem na profil studijního programu.</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3.5ma</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je nebo v posledních třech letech byla řešitelem vědeckých nebo uměleckých projektů, které se odborně vztahují k odpovídající oblasti nebo oblastem vzdělávání. Přitom vysoká škola umožňuje studentům účastnit se vědecké nebo umělecké činnosti.</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3.5mp</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uskutečňuje tvůrčí činnost, která odpovídá oblasti nebo oblastem vzdělávání, v rámci které nebo v rámci kterých má být studijní program příslušného typu uskutečňován, a hodnotí její výstupy s ohledem na profil studijního programu. Vysoká škola je nebo v posledních třech letech byla řešitelem vědeckých nebo uměleckých projektů anebo projektů aplikovaného nebo smluvního výzkumu, které se odborně vztahují k odpovídající oblasti nebo oblastem vzdělávání. Přitom vysoká škola umožňuje studentům účastnit se vědecké nebo umělecké činnosti.</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3.5d</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uskutečňuje vědeckou nebo uměleckou činnost s mezinárodním rozměrem, která odpovídá oblasti nebo oblastem vzdělávání, v rámci které nebo v rámci kterých je nebo má být doktorský studijní program uskutečňován, a která odpovídá typu studijního programu. Zároveň vysoká škola nebo její součást je dlouhodobě řešitelem vědeckých nebo uměleckých projektů, které se odborně vztahují k oblasti nebo oblastem vzdělávání, do které nebo do kterých patří studijní program.</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3.6</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 xml:space="preserve">Vysoká škola uskutečňuje vědeckou nebo uměleckou činnost s mezinárodním rozměrem, která odpovídá oblasti nebo oblastem vzdělávání a která odpovídá typu studijního programu, a hodnotí její výstupy s ohledem na profil studijního programu. </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3.7</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Ze zadání disertačních prací vyplývá, že jejich vypracování bude vyžadovat samostatnou tvůrčí činnost studenta. Předpokladem pro  veřejnou obhajobu disertační práce je předložení odborných výstupů tvůrčí činnosti.</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4.1</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má zhodnoceny předpokládané finanční náklady na uskutečňování studijního programu, zejména náklady na přístrojové vybavení a jeho provoz, náklady na materiální a technické vybavení a jeho modernizaci, osobní náklady, náklady dalšího vzdělávání akademických pracovníků a výdaje na inovace, a má zajištěny odpovídající zdroje na pokrytí těchto nákladů.</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4.2</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má zajištěnu infrastrukturu pro výuku ve studijním programu, zejména odpovídající materiální a technické zabezpečení, dostatečné a provozuschopné výukové a studijní prostory, vybavení učeben a laboratoří pomůckami a laboratorním a výukovým zařízením, které odpovídá danému typu studijního programu a v případě bakalářského nebo magisterského studijního programu i profilu studijního programu, a počtu studentů.</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4.3</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Studenti mají dostatečný přístup k odborné literatuře a dalším informačním zdrojům odpovídajícím danému typu studijního programu a v případě bakalářského nebo magisterského studijního programu i profilu studijního programu.</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4.4</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 xml:space="preserve">Materiální a technické zabezpečení studijního programu uskutečňovaného mimo sídlo vysoké školy </w:t>
            </w:r>
            <w:r w:rsidRPr="00C355A6">
              <w:rPr>
                <w:rFonts w:ascii="Times New Roman" w:hAnsi="Times New Roman" w:cs="Times New Roman"/>
                <w:bCs/>
              </w:rPr>
              <w:t>je</w:t>
            </w:r>
            <w:r w:rsidRPr="00C355A6">
              <w:rPr>
                <w:rFonts w:ascii="Times New Roman" w:hAnsi="Times New Roman" w:cs="Times New Roman"/>
              </w:rPr>
              <w:t xml:space="preserve"> srovnatelné se zabezpečením zajištěným při uskutečňování studijního programu v sídle vysoké školy. Je-li mimo sídlo vysoké školy uskutečňovaná pouze praktická výuka, materiální a technické zabezpečení </w:t>
            </w:r>
            <w:r w:rsidRPr="00C355A6">
              <w:rPr>
                <w:rFonts w:ascii="Times New Roman" w:hAnsi="Times New Roman" w:cs="Times New Roman"/>
                <w:bCs/>
              </w:rPr>
              <w:t>odpovídá</w:t>
            </w:r>
            <w:r w:rsidRPr="00C355A6">
              <w:rPr>
                <w:rFonts w:ascii="Times New Roman" w:hAnsi="Times New Roman" w:cs="Times New Roman"/>
              </w:rPr>
              <w:t xml:space="preserve"> potřebám této výuky.</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5.1</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má v dostatečné míře vymezeny pravomoci a odpovědnost garanta studijního programu tak, aby byla zajištěna kvalita studijního programu.</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5.2ba</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Garantem je akademický pracovník, který byl jmenován profesorem nebo jmenován docentem anebo má vědeckou hodnost „kandidáta věd“ (ve zkratce „CSc.“) nebo vzdělání získané absolvováním doktorského studijního programu. Garant má odbornou kvalifikaci vztahující se k danému bakalářskému studijnímu programu nebo studijnímu programu blízkého nebo příbuzného obsahového zaměření a v posledních pěti letech vykonával vědeckou nebo uměleckou činnost, jež odpovídá oblasti nebo oblastem vzdělávání, v rámci které nebo v rámci kterých má být studijní program uskutečňován.</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5.2bp</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Garantem je akademický pracovník, který byl jmenován profesorem nebo jmenován docentem anebo má vědeckou hodnost „kandidáta věd“ (ve zkratce „CSc.“) nebo vzdělání získané absolvováním doktorského studijního programu. Garant má odbornou kvalifikaci vztahující se k danému bakalářskému studijnímu programu nebo ke studijnímu programu blízkého nebo příbuzného obsahového zaměření a v posledních pěti letech vykonával tvůrčí činnost, jež odpovídá oblasti nebo oblastem vzdělávání, v rámci které nebo v rámci kterých má být bakalářský studijní program uskutečňován, anebo během této doby působil ve věcně odpovídající odborné praxi.</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5.2m</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Garantem je akademický pracovník, který byl jmenován profesorem nebo jmenován docentem v oboru, který odpovídá dané oblasti nebo oblastem vzdělávání v rámci které nebo v rámci kterých má být daný magisterský studijní program uskutečňován, a který v daném oboru v posledních pěti letech vykonával vědeckou nebo uměleckou činnost.</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5.2d</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Garantem je akademický pracovník, který byl jmenován profesorem nebo jmenován docentem v oboru, který odpovídá danému studijním programu nebo programu blízkého nebo příbuzného obsahového zaměření, a který v daném oboru v posledních pěti letech vykonával vědeckou nebo uměleckou činnost.</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5.3</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Garant je akademickým pracovníkem příslušné vysoké školy, který působí na vysoké škole jako akademický pracovník na základě pracovního nebo služebního poměru nebo poměrů s celkovou týdenní pracovní dobou odpovídající stanovené týdenní pracovní době podle § 79 zákoníku práce. V případě, že jde o studijní program uskutečňovaný na součásti vysoké školy, platí též, že garant studijního programu působí na této součásti jako akademický pracovník na základě pracovního nebo služebního poměru podle věty první s týdenní pracovní dobou odpovídající alespoň polovině stanovené týdenní pracovní doby podle § 79 zákoníku práce. Případné další pracovní nebo služební poměry garanta studijního programu, na základě kterých působí jako akademický pracovník na téže nebo jiných vysokých školách nebo na zahraniční vysoké škole nebo tuzemské právnické osobě podle § 93a zákona o vysokých školách, nezakládají povinnost výkonu práce nebo přítomnosti na pracovišti v celkovém rozsahu přesahujícím polovinu stanovené týdenní pracovní doby podle § 79 zákoníku práce.</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5.4</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Garant studijního programu splňuje podmínky týkající se maximálního počtu garantovaných studijních programů.</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6.1</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Personálního zabezpečení studijního programu splňuje požadavky standardů pro akreditaci daného typu studijního programu, týkající se pracovní doby akademických pracovníků na dané vysoké škole a ostatních vysokých školách.</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6.2</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 xml:space="preserve">Počet akademických pracovníků zabezpečujících studijní program, o jehož akreditaci je žádáno, odpovídá typu studijního programu, oblasti nebo oblastem vzdělávání, v rámci které nebo v rámci kterých má být studijní program uskutečňován, formě studia, metodám výuky, předpokládanému počtu studentů a případnému profilu studijního programu. Žádá-li vysoká škola o rozšíření nebo prodloužení platnosti akreditace studijního programu, je počet akademických pracovníků zabezpečujících studijní program dále přiměřený i skutečnému počtu studentů. Vysoká škola má vypracovánu účinnou strategii personálního rozvoje akademických pracovníků a existují motivační nástroje k tomuto rozvoji. </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6.3</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Výuka, která probíhá mimo sídlo vysoké školy, s výjimkou odborných praxí, je zabezpečena obdobně kvalifikovanými pracovníky jako v sídle vysoké školy.</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6.4</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Základní teoretické studijní předměty profilujícího základu studijního programu mají garanty, kteří se významně podílejí na jejich výuce, například vedením přednášek. Studijní program je dostatečně personálně zabezpečen i z hlediska doby platnosti jeho akreditace a perspektivy jeho rozvoje, a to zejména se zřetelem na délku týdenní pracovní doby garantů základních teoretických studijních předmětů profilujícího základu studijního programu a na dobu, na kterou je pracovní poměr těchto zaměstnanců k dané vysoké škole sjednán nebo na kterou je jeho sjednání zajištěno.</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6.5</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Nejde-li o studijní program v oblasti umění, mají vyučující zajišťující jeho uskutečňování vysokoškolské vzdělání získané absolvováním alespoň magisterského studijního programu nebo jeho ekvivalent získaný na zahraniční vysoké škole.</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6.6</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U odborníků z praxe je prokázáno odpovídající působení v oboru za posledních 5 let.</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6.7</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Personální zajištění profesně zaměřeného bakalářského studijního programu zahrnuje taktéž dostatečné zapojení odborníků z praxe.</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6.8p</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Studijní program je zabezpečen akademickými pracovníky, popřípadě i dalšími odborníky s příslušnou kvalifikací pro zajištění jednotlivých studijních předmětů. Celková struktura akademických pracovníků zabezpečujících studijní program odpovídá z hlediska kvalifikace, věku, délky týdenní pracovní doby a zkušeností s působením v zahraničí nebo v praxi struktuře studijního plánu, cílům a případnému profilu studijního programu, přičemž je přiměřeně zajištěno zastoupení odborníků z praxe, kteří se podílejí na výuce.</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6.8a</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Studijní program je zabezpečen akademickými pracovníky, popřípadě i dalšími odborníky s příslušnou kvalifikací pro zajištění jednotlivých studijních předmětů. Celková struktura akademických pracovníků zabezpečujících studijní program odpovídá z hlediska kvalifikace, věku, délky týdenní pracovní doby a zkušeností s působením v zahraničí nebo v praxi struktuře studijního plánu, cílům a případnému profilu studijního programu, přičemž akademičtí pracovníci vykonávají tvůrčí činnost, jež odpovídá tomuto nebo příbuznému studijnímu programu.</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6.8d</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Studijní program je zabezpečen akademickými pracovníky, popřípadě i dalšími odborníky s příslušnou kvalifikací pro zajištění jednotlivých studijních předmětů. Celková struktura akademických pracovníků zabezpečujících studijní program odpovídá z hlediska kvalifikace, věku, délky týdenní pracovní doby a zkušeností s působením v zahraničí nebo v praxi struktuře studijního plánu a cílům studijního programu, přičemž akademičtí pracovníci vykonávají tvůrčí činnost, jež odpovídá tomuto nebo příbuznému studijnímu programu.</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6.9b</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Základní teoretické studijní předměty profilujícího základu jsou garantovány akademickými pracovníky jmenovanými profesorem nebo docentem anebo akademickými pracovníky s vědeckou hodností. Přitom studijní předměty profilujícího základu studijních programů z oblasti umění mohou být též garantovány akademickými pracovníky s odpovídající uměleckou erudicí. Garanti těchto studijních předmětů se podílejí na jejich výuce.</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6.9m</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 xml:space="preserve">Studijní předměty profilujícího základu magisterského studijního programu jsou garantovány akademickými pracovníky s vědeckou hodností. Přitom studijní předměty profilujícího základu studijních programů z oblasti umění mohou být též garantovány akademickými pracovníky s odpovídající uměleckou erudicí. </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6.10</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 xml:space="preserve">Základní teoretické studijní předměty profilujícího základu magisterského studijního programu jsou garantovány akademickými pracovníky jmenovanými profesorem nebo jmenovanými docentem v oboru, který odpovídá oblasti nebo oblastem vzdělávání, v rámci které nebo v rámci kterých má být daný magisterský studijní program uskutečňován nebo v oboru příbuzném. Přitom základní teoretické studijní předměty profilujícího základu studijních programů z oblasti umění mohou být též garantovány akademickými pracovníky s odpovídající uměleckou erudicí. </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6.11</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Školiteli studentů doktorského studijního programu mohou být pouze docenti a profesoři a popřípadě další odborníci s vědeckou hodností schválení příslušnou vědeckou nebo uměleckou radou, školiteli studentů doktorských studijních programů z oblasti umění mohou být též odborníci s odpovídající uměleckou erudicí.</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6.12</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Členy oborové rady doktorského studijního programu mohou být pouze ti, kteří v posledních 5 letech vykonávali tvůrčí činnost, která odpovídá oblasti nebo oblastem vzdělávání, v rámci které nebo v rámci kterých má být uskutečňován doktorský studijní program.</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6.13</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Oborovou radu doktorského studijního programu tvoří jak akademičtí pracovníci a popřípadě další odborníci, kteří na dané vysoké škole působí na základě pracovního poměru nebo pracovních poměrů nebo služebních poměrů s celkovým součtem týdenní pracovní doby odpovídajícím alespoň polovině stanovené týdenní pracovní doby podle § 79 zákoníku práce, tak i odborníci mimo danou vysokou školu.</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7.1</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Vysoká škola prokáže, že navrhovaný způsob uskutečňování studijního programu v distanční a kombinované formě studia je funkční.</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shd w:val="clear" w:color="auto" w:fill="FFFFFF"/>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7.2</w:t>
            </w:r>
          </w:p>
        </w:tc>
        <w:tc>
          <w:tcPr>
            <w:tcW w:w="8116" w:type="dxa"/>
          </w:tcPr>
          <w:p w:rsidR="009E517D" w:rsidRPr="00C355A6" w:rsidRDefault="009E517D" w:rsidP="00C355A6">
            <w:pPr>
              <w:spacing w:after="0" w:line="240" w:lineRule="auto"/>
              <w:ind w:left="-756"/>
              <w:rPr>
                <w:rFonts w:ascii="Times New Roman" w:hAnsi="Times New Roman" w:cs="Times New Roman"/>
              </w:rPr>
            </w:pPr>
            <w:r w:rsidRPr="00C355A6">
              <w:rPr>
                <w:rFonts w:ascii="Times New Roman" w:hAnsi="Times New Roman" w:cs="Times New Roman"/>
              </w:rPr>
              <w:t>Bakalářské a magisterské studijní programy v kombinované formě studia jsou navrženy tak, aby obsahovaly alespoň 80 hodin přímé výuky za semestr, s výjimkou posledního semestru studia, věnovaného především zpracování kvalifikační práce.</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shd w:val="clear" w:color="auto" w:fill="FFFFFF"/>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7.3</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Studijní předměty uskutečňované v kombinované či distanční formě studia jsou zajištěny studijními oporami. Pro každý takový studijní předmět jsou specifikovány studijní opory, výuka s využitím výpočetní techniky a internetu, způsob kontaktu s vyučujícím, včetně systému konzultací a zajištění možnosti komunikace mezi studenty navzájem.</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shd w:val="clear" w:color="auto" w:fill="FFFFFF"/>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7.4</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Studijní opory pro studium v cizím jazyce jsou zpracovány v příslušném cizím jazyce.</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p>
        </w:tc>
      </w:tr>
      <w:tr w:rsidR="009E517D" w:rsidRPr="00C355A6" w:rsidTr="00C355A6">
        <w:trPr>
          <w:trHeight w:val="20"/>
        </w:trPr>
        <w:tc>
          <w:tcPr>
            <w:tcW w:w="723" w:type="dxa"/>
            <w:tcBorders>
              <w:right w:val="nil"/>
            </w:tcBorders>
            <w:shd w:val="clear" w:color="auto" w:fill="FFFFFF"/>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7.5</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Pro studium ve studijním programu uskutečňovaném v cizím jazyce je k dispozici překlad příslušných vnitřních předpisů do  příslušného cizího jazyka.</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7.6</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Informace o přijímacím řízení a o průběhu studia ve studijním programu uskutečňovaném v cizím jazyce jsou pro uchazeče o studium a studenty dostupné v příslušném cizím jazyce na internetových stránkách vysoké školy. Ve studijním programu uskutečňovaném v cizím jazyce jsou zajištěny informace a komunikace o rozvrhu studia, o povinnostech vyplývajících ze studia ve studijním programu, o dokladech o studiu a o dalších informacích souvisejících se studiem v příslušném cizím jazyce. Studenti a akademičtí pracovníci mají přístup k informačním zdrojům a dalším, zejména poradenským, službám v cizím jazyce, ve kterém je uskutečňován studijní program.</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7.7</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Je-li součástí studia ve studijním programu uskutečňovaném v cizím jazyce i odborná praxe, zabezpečuje vysoká škola odborné vedení a další podmínky pro uskutečňování této praxe v příslušném cizím jazyce.</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7.8</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Kvalifikační práce ve studijním programu uskutečňovaném v cizím jazyce jsou vypracovávány v cizím jazyce, ve kterém je studijní program uskutečňován. Oponentské posudky jsou zajištěny v příslušném cizím jazyce a dále v anglickém nebo českém jazyce.</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7.9</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Akademičtí pracovníci a další odborníci, kteří se podílejí na zajištění přednášek, seminářů a dalších forem výuky ve studijním programu uskutečňovaném v cizím jazyce, mají dostatečné znalosti daného cizího jazyka.</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7.10</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 případě studijních programů, které mají být uskutečňovány ve spolupráci se zahraniční vysokou školou podle § 47a zákona o vysokých školách, je doložena platnost zahraniční akreditace nebo jiné formy uznání obsahově souvisejícího zahraničního vysokoškolského studijního programu podle právních předpisů domovského státu zahraniční vysoké školy, popřípadě je doloženo podání žádosti zahraniční vysoké školy o tuto zahraniční akreditaci nebo uznání. Příslušné právní předpisy domovského státu zahraniční vysoké školy jsou konkrétně určeny.</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r w:rsidR="009E517D" w:rsidRPr="00C355A6" w:rsidTr="00C355A6">
        <w:trPr>
          <w:trHeight w:val="20"/>
        </w:trPr>
        <w:tc>
          <w:tcPr>
            <w:tcW w:w="723" w:type="dxa"/>
            <w:tcBorders>
              <w:right w:val="nil"/>
            </w:tcBorders>
            <w:vAlign w:val="center"/>
          </w:tcPr>
          <w:p w:rsidR="009E517D" w:rsidRPr="00C355A6" w:rsidRDefault="009E517D"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7.11</w:t>
            </w:r>
          </w:p>
        </w:tc>
        <w:tc>
          <w:tcPr>
            <w:tcW w:w="8116" w:type="dxa"/>
          </w:tcPr>
          <w:p w:rsidR="009E517D" w:rsidRPr="00C355A6" w:rsidRDefault="009E517D" w:rsidP="00C355A6">
            <w:pPr>
              <w:spacing w:after="0" w:line="240" w:lineRule="auto"/>
              <w:rPr>
                <w:rFonts w:ascii="Times New Roman" w:hAnsi="Times New Roman" w:cs="Times New Roman"/>
              </w:rPr>
            </w:pPr>
            <w:r w:rsidRPr="00C355A6">
              <w:rPr>
                <w:rFonts w:ascii="Times New Roman" w:hAnsi="Times New Roman" w:cs="Times New Roman"/>
              </w:rPr>
              <w:t>V případě studijních programů, které mají být uskutečňovány ve spolupráci s další právnickou osobou podle § 81 zákona o vysokých školách, je doložena dohoda o vzájemné spolupráci na uskutečňování studijního programu.</w:t>
            </w:r>
          </w:p>
        </w:tc>
        <w:tc>
          <w:tcPr>
            <w:tcW w:w="341" w:type="dxa"/>
            <w:shd w:val="clear" w:color="auto" w:fill="FFE599"/>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B4C6E7"/>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c>
          <w:tcPr>
            <w:tcW w:w="341" w:type="dxa"/>
            <w:shd w:val="clear" w:color="auto" w:fill="C5E0B3"/>
            <w:vAlign w:val="center"/>
          </w:tcPr>
          <w:p w:rsidR="009E517D" w:rsidRPr="00C355A6" w:rsidRDefault="009E517D" w:rsidP="00C355A6">
            <w:pPr>
              <w:spacing w:after="0" w:line="240" w:lineRule="auto"/>
              <w:jc w:val="center"/>
              <w:rPr>
                <w:rFonts w:ascii="Times New Roman" w:hAnsi="Times New Roman" w:cs="Times New Roman"/>
              </w:rPr>
            </w:pPr>
            <w:r w:rsidRPr="00C355A6">
              <w:rPr>
                <w:rFonts w:ascii="Times New Roman" w:hAnsi="Times New Roman" w:cs="Times New Roman"/>
              </w:rPr>
              <w:t>X</w:t>
            </w:r>
          </w:p>
        </w:tc>
      </w:tr>
    </w:tbl>
    <w:p w:rsidR="009E517D" w:rsidRPr="000B3D78" w:rsidRDefault="009E517D" w:rsidP="000B3D78"/>
    <w:p w:rsidR="009E517D" w:rsidRPr="000B3D78" w:rsidRDefault="009E517D" w:rsidP="00493DAD">
      <w:pPr>
        <w:tabs>
          <w:tab w:val="left" w:pos="2835"/>
        </w:tabs>
        <w:spacing w:before="120" w:after="120"/>
        <w:rPr>
          <w:sz w:val="28"/>
          <w:szCs w:val="28"/>
        </w:rPr>
      </w:pPr>
    </w:p>
    <w:sectPr w:rsidR="009E517D" w:rsidRPr="000B3D78" w:rsidSect="00651712">
      <w:footerReference w:type="even" r:id="rId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17D" w:rsidRDefault="009E517D" w:rsidP="00561085">
      <w:pPr>
        <w:spacing w:after="0" w:line="240" w:lineRule="auto"/>
      </w:pPr>
      <w:r>
        <w:separator/>
      </w:r>
    </w:p>
  </w:endnote>
  <w:endnote w:type="continuationSeparator" w:id="0">
    <w:p w:rsidR="009E517D" w:rsidRDefault="009E517D" w:rsidP="00561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 Courier"/>
    <w:panose1 w:val="02070309020205020404"/>
    <w:charset w:val="EE"/>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7D" w:rsidRDefault="009E517D" w:rsidP="00175912">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9E517D" w:rsidRDefault="009E51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7D" w:rsidRDefault="009E517D" w:rsidP="00175912">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9E517D" w:rsidRDefault="009E517D">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7D" w:rsidRPr="00F356C7" w:rsidRDefault="009E517D" w:rsidP="00651712">
    <w:pPr>
      <w:pStyle w:val="Footer"/>
      <w:rPr>
        <w:sz w:val="16"/>
        <w:szCs w:val="16"/>
      </w:rPr>
    </w:pPr>
    <w:r w:rsidRPr="00F356C7">
      <w:rPr>
        <w:sz w:val="16"/>
        <w:szCs w:val="16"/>
      </w:rPr>
      <w:t>verze 16.2.2017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17D" w:rsidRDefault="009E517D" w:rsidP="00561085">
      <w:pPr>
        <w:spacing w:after="0" w:line="240" w:lineRule="auto"/>
      </w:pPr>
      <w:r>
        <w:separator/>
      </w:r>
    </w:p>
  </w:footnote>
  <w:footnote w:type="continuationSeparator" w:id="0">
    <w:p w:rsidR="009E517D" w:rsidRDefault="009E517D" w:rsidP="005610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A54"/>
    <w:multiLevelType w:val="multilevel"/>
    <w:tmpl w:val="706C644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78955F1"/>
    <w:multiLevelType w:val="hybridMultilevel"/>
    <w:tmpl w:val="B36262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F8875E4"/>
    <w:multiLevelType w:val="hybridMultilevel"/>
    <w:tmpl w:val="E920F0FE"/>
    <w:lvl w:ilvl="0" w:tplc="7F6A86F8">
      <w:start w:val="1"/>
      <w:numFmt w:val="lowerLetter"/>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3">
    <w:nsid w:val="1910241F"/>
    <w:multiLevelType w:val="hybridMultilevel"/>
    <w:tmpl w:val="A094DD2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499461F"/>
    <w:multiLevelType w:val="hybridMultilevel"/>
    <w:tmpl w:val="CA5A55DE"/>
    <w:lvl w:ilvl="0" w:tplc="2586F42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5155EC5"/>
    <w:multiLevelType w:val="hybridMultilevel"/>
    <w:tmpl w:val="CE7CE2D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26D75001"/>
    <w:multiLevelType w:val="hybridMultilevel"/>
    <w:tmpl w:val="8CB802A8"/>
    <w:lvl w:ilvl="0" w:tplc="210C2C6A">
      <w:start w:val="1"/>
      <w:numFmt w:val="bullet"/>
      <w:pStyle w:val="Heading3"/>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30E575DD"/>
    <w:multiLevelType w:val="hybridMultilevel"/>
    <w:tmpl w:val="A9B02FDA"/>
    <w:lvl w:ilvl="0" w:tplc="FB2A13AA">
      <w:start w:val="1"/>
      <w:numFmt w:val="lowerLetter"/>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8">
    <w:nsid w:val="32966709"/>
    <w:multiLevelType w:val="hybridMultilevel"/>
    <w:tmpl w:val="9F7A99E6"/>
    <w:lvl w:ilvl="0" w:tplc="0368FFCA">
      <w:start w:val="1"/>
      <w:numFmt w:val="decimal"/>
      <w:lvlText w:val="%1."/>
      <w:lvlJc w:val="left"/>
      <w:pPr>
        <w:ind w:left="1080"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nsid w:val="36324825"/>
    <w:multiLevelType w:val="hybridMultilevel"/>
    <w:tmpl w:val="B2F28164"/>
    <w:lvl w:ilvl="0" w:tplc="0405000F">
      <w:start w:val="1"/>
      <w:numFmt w:val="decimal"/>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10">
    <w:nsid w:val="387765B9"/>
    <w:multiLevelType w:val="hybridMultilevel"/>
    <w:tmpl w:val="C7766BC6"/>
    <w:lvl w:ilvl="0" w:tplc="BFBADF2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1">
    <w:nsid w:val="39453B72"/>
    <w:multiLevelType w:val="hybridMultilevel"/>
    <w:tmpl w:val="8FFE8D1C"/>
    <w:lvl w:ilvl="0" w:tplc="E6084452">
      <w:start w:val="1"/>
      <w:numFmt w:val="lowerLetter"/>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12">
    <w:nsid w:val="395C36C2"/>
    <w:multiLevelType w:val="hybridMultilevel"/>
    <w:tmpl w:val="48763182"/>
    <w:lvl w:ilvl="0" w:tplc="7F6A86F8">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3">
    <w:nsid w:val="3D797E50"/>
    <w:multiLevelType w:val="hybridMultilevel"/>
    <w:tmpl w:val="B81C7B14"/>
    <w:lvl w:ilvl="0" w:tplc="A73C5A7C">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4">
    <w:nsid w:val="40617B54"/>
    <w:multiLevelType w:val="hybridMultilevel"/>
    <w:tmpl w:val="00B474C2"/>
    <w:lvl w:ilvl="0" w:tplc="7CAA0EDA">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5">
    <w:nsid w:val="43B83816"/>
    <w:multiLevelType w:val="hybridMultilevel"/>
    <w:tmpl w:val="770A59BE"/>
    <w:lvl w:ilvl="0" w:tplc="18C49F2A">
      <w:start w:val="1"/>
      <w:numFmt w:val="lowerLetter"/>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16">
    <w:nsid w:val="450E6306"/>
    <w:multiLevelType w:val="hybridMultilevel"/>
    <w:tmpl w:val="A5F42A3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EA72A04"/>
    <w:multiLevelType w:val="hybridMultilevel"/>
    <w:tmpl w:val="E2D0CEBE"/>
    <w:lvl w:ilvl="0" w:tplc="24D2D152">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
    <w:nsid w:val="51265B4D"/>
    <w:multiLevelType w:val="hybridMultilevel"/>
    <w:tmpl w:val="E33E87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5C9B5F02"/>
    <w:multiLevelType w:val="hybridMultilevel"/>
    <w:tmpl w:val="679668E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645310C3"/>
    <w:multiLevelType w:val="hybridMultilevel"/>
    <w:tmpl w:val="0FA483A0"/>
    <w:lvl w:ilvl="0" w:tplc="4572AF7E">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
    <w:nsid w:val="6EEA4E97"/>
    <w:multiLevelType w:val="hybridMultilevel"/>
    <w:tmpl w:val="82B49F22"/>
    <w:lvl w:ilvl="0" w:tplc="F1420664">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nsid w:val="6F752B3A"/>
    <w:multiLevelType w:val="multilevel"/>
    <w:tmpl w:val="A552C760"/>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color="000000"/>
        <w:effect w:val="none"/>
        <w:vertAlign w:val="baseline"/>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3">
    <w:nsid w:val="77F076BC"/>
    <w:multiLevelType w:val="multilevel"/>
    <w:tmpl w:val="ED7C4236"/>
    <w:lvl w:ilvl="0">
      <w:start w:val="1"/>
      <w:numFmt w:val="upperRoman"/>
      <w:pStyle w:val="Heading1"/>
      <w:lvlText w:val="%1."/>
      <w:lvlJc w:val="righ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4">
    <w:nsid w:val="7E392CC8"/>
    <w:multiLevelType w:val="hybridMultilevel"/>
    <w:tmpl w:val="6A605EC0"/>
    <w:lvl w:ilvl="0" w:tplc="7F6A86F8">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num w:numId="1">
    <w:abstractNumId w:val="16"/>
  </w:num>
  <w:num w:numId="2">
    <w:abstractNumId w:val="13"/>
  </w:num>
  <w:num w:numId="3">
    <w:abstractNumId w:val="12"/>
  </w:num>
  <w:num w:numId="4">
    <w:abstractNumId w:val="21"/>
  </w:num>
  <w:num w:numId="5">
    <w:abstractNumId w:val="10"/>
  </w:num>
  <w:num w:numId="6">
    <w:abstractNumId w:val="8"/>
  </w:num>
  <w:num w:numId="7">
    <w:abstractNumId w:val="15"/>
  </w:num>
  <w:num w:numId="8">
    <w:abstractNumId w:val="7"/>
  </w:num>
  <w:num w:numId="9">
    <w:abstractNumId w:val="20"/>
  </w:num>
  <w:num w:numId="10">
    <w:abstractNumId w:val="11"/>
  </w:num>
  <w:num w:numId="11">
    <w:abstractNumId w:val="17"/>
  </w:num>
  <w:num w:numId="12">
    <w:abstractNumId w:val="9"/>
  </w:num>
  <w:num w:numId="13">
    <w:abstractNumId w:val="14"/>
  </w:num>
  <w:num w:numId="14">
    <w:abstractNumId w:val="1"/>
  </w:num>
  <w:num w:numId="15">
    <w:abstractNumId w:val="19"/>
  </w:num>
  <w:num w:numId="16">
    <w:abstractNumId w:val="4"/>
  </w:num>
  <w:num w:numId="17">
    <w:abstractNumId w:val="24"/>
  </w:num>
  <w:num w:numId="18">
    <w:abstractNumId w:val="3"/>
  </w:num>
  <w:num w:numId="19">
    <w:abstractNumId w:val="2"/>
  </w:num>
  <w:num w:numId="20">
    <w:abstractNumId w:val="0"/>
  </w:num>
  <w:num w:numId="21">
    <w:abstractNumId w:val="22"/>
  </w:num>
  <w:num w:numId="22">
    <w:abstractNumId w:val="6"/>
  </w:num>
  <w:num w:numId="23">
    <w:abstractNumId w:val="23"/>
  </w:num>
  <w:num w:numId="24">
    <w:abstractNumId w:val="18"/>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9E6"/>
    <w:rsid w:val="0001577C"/>
    <w:rsid w:val="00035992"/>
    <w:rsid w:val="00062667"/>
    <w:rsid w:val="0007448D"/>
    <w:rsid w:val="000855AE"/>
    <w:rsid w:val="000B3D78"/>
    <w:rsid w:val="000C649E"/>
    <w:rsid w:val="00155275"/>
    <w:rsid w:val="00175912"/>
    <w:rsid w:val="0019620C"/>
    <w:rsid w:val="001A34E6"/>
    <w:rsid w:val="001C0573"/>
    <w:rsid w:val="001D00DD"/>
    <w:rsid w:val="00201155"/>
    <w:rsid w:val="00263DD3"/>
    <w:rsid w:val="002F1D94"/>
    <w:rsid w:val="00320E00"/>
    <w:rsid w:val="00333256"/>
    <w:rsid w:val="00341363"/>
    <w:rsid w:val="00373341"/>
    <w:rsid w:val="003B6392"/>
    <w:rsid w:val="003D3986"/>
    <w:rsid w:val="003F21E3"/>
    <w:rsid w:val="00434076"/>
    <w:rsid w:val="004866D3"/>
    <w:rsid w:val="00493DAD"/>
    <w:rsid w:val="004D3F0F"/>
    <w:rsid w:val="004F1106"/>
    <w:rsid w:val="004F3AD7"/>
    <w:rsid w:val="0051447F"/>
    <w:rsid w:val="0053658B"/>
    <w:rsid w:val="0054435B"/>
    <w:rsid w:val="00544CBB"/>
    <w:rsid w:val="00561085"/>
    <w:rsid w:val="005B3EFA"/>
    <w:rsid w:val="005C1A8B"/>
    <w:rsid w:val="00647634"/>
    <w:rsid w:val="00650764"/>
    <w:rsid w:val="00651712"/>
    <w:rsid w:val="00657246"/>
    <w:rsid w:val="006675DD"/>
    <w:rsid w:val="006E0E49"/>
    <w:rsid w:val="006F7B4D"/>
    <w:rsid w:val="007041D6"/>
    <w:rsid w:val="00745E75"/>
    <w:rsid w:val="007673BA"/>
    <w:rsid w:val="007F3B05"/>
    <w:rsid w:val="00801E4E"/>
    <w:rsid w:val="00845913"/>
    <w:rsid w:val="008624B2"/>
    <w:rsid w:val="00880D45"/>
    <w:rsid w:val="008848E6"/>
    <w:rsid w:val="00951E0B"/>
    <w:rsid w:val="009848FA"/>
    <w:rsid w:val="009C728F"/>
    <w:rsid w:val="009D7F29"/>
    <w:rsid w:val="009E517D"/>
    <w:rsid w:val="00AE72A3"/>
    <w:rsid w:val="00B25E8D"/>
    <w:rsid w:val="00B379C9"/>
    <w:rsid w:val="00B41573"/>
    <w:rsid w:val="00B957D6"/>
    <w:rsid w:val="00BA4FF0"/>
    <w:rsid w:val="00BD69F1"/>
    <w:rsid w:val="00BF39C3"/>
    <w:rsid w:val="00BF67DE"/>
    <w:rsid w:val="00C24C51"/>
    <w:rsid w:val="00C355A6"/>
    <w:rsid w:val="00C80B17"/>
    <w:rsid w:val="00C905C1"/>
    <w:rsid w:val="00D04C5F"/>
    <w:rsid w:val="00D26315"/>
    <w:rsid w:val="00D669D5"/>
    <w:rsid w:val="00D67F59"/>
    <w:rsid w:val="00DA6089"/>
    <w:rsid w:val="00DD47C5"/>
    <w:rsid w:val="00E07921"/>
    <w:rsid w:val="00E13F7B"/>
    <w:rsid w:val="00E15EBC"/>
    <w:rsid w:val="00E7215E"/>
    <w:rsid w:val="00ED2A7F"/>
    <w:rsid w:val="00F319E6"/>
    <w:rsid w:val="00F356C7"/>
    <w:rsid w:val="00F44C18"/>
    <w:rsid w:val="00FD0189"/>
    <w:rsid w:val="00FD55FA"/>
    <w:rsid w:val="00FF2E7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C9"/>
    <w:pPr>
      <w:spacing w:after="160" w:line="259" w:lineRule="auto"/>
    </w:pPr>
    <w:rPr>
      <w:lang w:eastAsia="en-US"/>
    </w:rPr>
  </w:style>
  <w:style w:type="paragraph" w:styleId="Heading1">
    <w:name w:val="heading 1"/>
    <w:basedOn w:val="Normal"/>
    <w:next w:val="Normal"/>
    <w:link w:val="Heading1Char"/>
    <w:uiPriority w:val="99"/>
    <w:qFormat/>
    <w:rsid w:val="008624B2"/>
    <w:pPr>
      <w:keepNext/>
      <w:keepLines/>
      <w:numPr>
        <w:numId w:val="23"/>
      </w:numPr>
      <w:spacing w:before="240" w:after="0"/>
      <w:outlineLvl w:val="0"/>
    </w:pPr>
    <w:rPr>
      <w:rFonts w:ascii="Calibri Light" w:eastAsia="Times New Roman" w:hAnsi="Calibri Light" w:cs="Times New Roman"/>
      <w:color w:val="5B9BD5"/>
      <w:sz w:val="32"/>
      <w:szCs w:val="32"/>
    </w:rPr>
  </w:style>
  <w:style w:type="paragraph" w:styleId="Heading2">
    <w:name w:val="heading 2"/>
    <w:basedOn w:val="Normal"/>
    <w:next w:val="Normal"/>
    <w:link w:val="Heading2Char"/>
    <w:uiPriority w:val="99"/>
    <w:qFormat/>
    <w:rsid w:val="00035992"/>
    <w:pPr>
      <w:keepNext/>
      <w:keepLines/>
      <w:spacing w:before="40" w:after="0"/>
      <w:ind w:left="360"/>
      <w:outlineLvl w:val="1"/>
    </w:pPr>
    <w:rPr>
      <w:rFonts w:ascii="Calibri Light" w:eastAsia="Times New Roman" w:hAnsi="Calibri Light" w:cs="Times New Roman"/>
      <w:color w:val="5B9BD5"/>
      <w:sz w:val="26"/>
      <w:szCs w:val="26"/>
    </w:rPr>
  </w:style>
  <w:style w:type="paragraph" w:styleId="Heading3">
    <w:name w:val="heading 3"/>
    <w:basedOn w:val="Normal"/>
    <w:next w:val="Normal"/>
    <w:link w:val="Heading3Char"/>
    <w:uiPriority w:val="99"/>
    <w:qFormat/>
    <w:rsid w:val="00155275"/>
    <w:pPr>
      <w:keepNext/>
      <w:keepLines/>
      <w:numPr>
        <w:numId w:val="22"/>
      </w:numPr>
      <w:spacing w:before="40" w:after="0"/>
      <w:outlineLvl w:val="2"/>
    </w:pPr>
    <w:rPr>
      <w:rFonts w:ascii="Calibri Light" w:eastAsia="Times New Roman" w:hAnsi="Calibri Light"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24B2"/>
    <w:rPr>
      <w:rFonts w:ascii="Calibri Light" w:hAnsi="Calibri Light" w:cs="Times New Roman"/>
      <w:color w:val="5B9BD5"/>
      <w:sz w:val="32"/>
      <w:szCs w:val="32"/>
    </w:rPr>
  </w:style>
  <w:style w:type="character" w:customStyle="1" w:styleId="Heading2Char">
    <w:name w:val="Heading 2 Char"/>
    <w:basedOn w:val="DefaultParagraphFont"/>
    <w:link w:val="Heading2"/>
    <w:uiPriority w:val="99"/>
    <w:locked/>
    <w:rsid w:val="00035992"/>
    <w:rPr>
      <w:rFonts w:ascii="Calibri Light" w:hAnsi="Calibri Light" w:cs="Times New Roman"/>
      <w:color w:val="5B9BD5"/>
      <w:sz w:val="26"/>
      <w:szCs w:val="26"/>
    </w:rPr>
  </w:style>
  <w:style w:type="character" w:customStyle="1" w:styleId="Heading3Char">
    <w:name w:val="Heading 3 Char"/>
    <w:basedOn w:val="DefaultParagraphFont"/>
    <w:link w:val="Heading3"/>
    <w:uiPriority w:val="99"/>
    <w:locked/>
    <w:rsid w:val="00155275"/>
    <w:rPr>
      <w:rFonts w:ascii="Calibri Light" w:hAnsi="Calibri Light" w:cs="Times New Roman"/>
      <w:sz w:val="24"/>
      <w:szCs w:val="24"/>
    </w:rPr>
  </w:style>
  <w:style w:type="paragraph" w:styleId="BalloonText">
    <w:name w:val="Balloon Text"/>
    <w:basedOn w:val="Normal"/>
    <w:link w:val="BalloonTextChar"/>
    <w:uiPriority w:val="99"/>
    <w:semiHidden/>
    <w:rsid w:val="00035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35992"/>
    <w:rPr>
      <w:rFonts w:ascii="Segoe UI" w:hAnsi="Segoe UI" w:cs="Segoe UI"/>
      <w:sz w:val="18"/>
      <w:szCs w:val="18"/>
    </w:rPr>
  </w:style>
  <w:style w:type="paragraph" w:styleId="ListParagraph">
    <w:name w:val="List Paragraph"/>
    <w:basedOn w:val="Normal"/>
    <w:uiPriority w:val="99"/>
    <w:qFormat/>
    <w:rsid w:val="00F319E6"/>
    <w:pPr>
      <w:ind w:left="720"/>
      <w:contextualSpacing/>
    </w:pPr>
  </w:style>
  <w:style w:type="paragraph" w:styleId="Header">
    <w:name w:val="header"/>
    <w:basedOn w:val="Normal"/>
    <w:link w:val="HeaderChar"/>
    <w:uiPriority w:val="99"/>
    <w:rsid w:val="0056108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61085"/>
    <w:rPr>
      <w:rFonts w:cs="Times New Roman"/>
    </w:rPr>
  </w:style>
  <w:style w:type="paragraph" w:styleId="Footer">
    <w:name w:val="footer"/>
    <w:basedOn w:val="Normal"/>
    <w:link w:val="FooterChar"/>
    <w:uiPriority w:val="99"/>
    <w:rsid w:val="0056108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61085"/>
    <w:rPr>
      <w:rFonts w:cs="Times New Roman"/>
    </w:rPr>
  </w:style>
  <w:style w:type="table" w:styleId="TableGrid">
    <w:name w:val="Table Grid"/>
    <w:basedOn w:val="TableNormal"/>
    <w:uiPriority w:val="99"/>
    <w:rsid w:val="000B3D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51712"/>
    <w:rPr>
      <w:rFonts w:cs="Times New Roman"/>
    </w:rPr>
  </w:style>
</w:styles>
</file>

<file path=word/webSettings.xml><?xml version="1.0" encoding="utf-8"?>
<w:webSettings xmlns:r="http://schemas.openxmlformats.org/officeDocument/2006/relationships" xmlns:w="http://schemas.openxmlformats.org/wordprocessingml/2006/main">
  <w:divs>
    <w:div w:id="1327132351">
      <w:marLeft w:val="0"/>
      <w:marRight w:val="0"/>
      <w:marTop w:val="0"/>
      <w:marBottom w:val="0"/>
      <w:divBdr>
        <w:top w:val="none" w:sz="0" w:space="0" w:color="auto"/>
        <w:left w:val="none" w:sz="0" w:space="0" w:color="auto"/>
        <w:bottom w:val="none" w:sz="0" w:space="0" w:color="auto"/>
        <w:right w:val="none" w:sz="0" w:space="0" w:color="auto"/>
      </w:divBdr>
    </w:div>
    <w:div w:id="1327132352">
      <w:marLeft w:val="0"/>
      <w:marRight w:val="0"/>
      <w:marTop w:val="0"/>
      <w:marBottom w:val="0"/>
      <w:divBdr>
        <w:top w:val="none" w:sz="0" w:space="0" w:color="auto"/>
        <w:left w:val="none" w:sz="0" w:space="0" w:color="auto"/>
        <w:bottom w:val="none" w:sz="0" w:space="0" w:color="auto"/>
        <w:right w:val="none" w:sz="0" w:space="0" w:color="auto"/>
      </w:divBdr>
    </w:div>
    <w:div w:id="1327132353">
      <w:marLeft w:val="0"/>
      <w:marRight w:val="0"/>
      <w:marTop w:val="0"/>
      <w:marBottom w:val="0"/>
      <w:divBdr>
        <w:top w:val="none" w:sz="0" w:space="0" w:color="auto"/>
        <w:left w:val="none" w:sz="0" w:space="0" w:color="auto"/>
        <w:bottom w:val="none" w:sz="0" w:space="0" w:color="auto"/>
        <w:right w:val="none" w:sz="0" w:space="0" w:color="auto"/>
      </w:divBdr>
    </w:div>
    <w:div w:id="1327132354">
      <w:marLeft w:val="0"/>
      <w:marRight w:val="0"/>
      <w:marTop w:val="0"/>
      <w:marBottom w:val="0"/>
      <w:divBdr>
        <w:top w:val="none" w:sz="0" w:space="0" w:color="auto"/>
        <w:left w:val="none" w:sz="0" w:space="0" w:color="auto"/>
        <w:bottom w:val="none" w:sz="0" w:space="0" w:color="auto"/>
        <w:right w:val="none" w:sz="0" w:space="0" w:color="auto"/>
      </w:divBdr>
    </w:div>
    <w:div w:id="132713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12</Pages>
  <Words>4986</Words>
  <Characters>29422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8</cp:revision>
  <cp:lastPrinted>2017-01-10T08:20:00Z</cp:lastPrinted>
  <dcterms:created xsi:type="dcterms:W3CDTF">2017-02-16T13:53:00Z</dcterms:created>
  <dcterms:modified xsi:type="dcterms:W3CDTF">2017-02-19T16:37:00Z</dcterms:modified>
</cp:coreProperties>
</file>